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IPC.6.a — Infection risk, rate and trend tracking</w:t>
      </w:r>
    </w:p>
    <w:p>
      <w:r>
        <w:rPr>
          <w:b/>
          <w:sz w:val="30"/>
        </w:rPr>
        <w:t>IPC.6 Record 3 — Infection risk, rate and trend tracking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suitable steps (actions) taken in response to analysis findings.” — the specific evidence element IPC.6.a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surveillance period once the real, risk-adjusted rate is actually calculated. The worked example below shows a real entry: on 10-Jan-2026, area / item checked was “Monthly surveillance report submitted on schedule”,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raw infection count means little on its own — five CAUTIs mean something very different in a 50-bed ICU's patient-days versus a 500-bed one's. This record proves the hospital calculates a risk-adjusted rate, not just a headline number, and actually acts on what the trend shows rather than just filing it.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Monthly surveillance report submitted on schedule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