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IPC.6.c — High-risk area surveillance</w:t>
      </w:r>
    </w:p>
    <w:p>
      <w:r>
        <w:rPr>
          <w:b/>
          <w:sz w:val="30"/>
        </w:rPr>
        <w:t>IPC.6 Record 6 — High-risk area surveillance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frequency and mode of surveillance documented per high-risk area.” — the specific evidence element IPC.6.c of this policy asks for. Every time this activity actually happens, whoever did it adds one new row below with: High-Risk Area, Surveillance Frequency, Mode, Last Confirmed.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for a real high-risk area each time surveillance is actually carried out there. The worked example below shows a real entry: high-risk area was “OT (during a live construction project nearby)”, surveillance frequency was “Weekly”, mode was “Environmental round + air-quality spot check”.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spread evenly across every low-risk and high-risk area alike wastes effort exactly where it matters least. This record proves the areas that actually carry the highest infection risk — including active construction or demolition zones — get surveillance at a frequency and method suited to that risk, not the hospital-wide default.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High-Risk Area: </w:t>
      </w:r>
      <w:r>
        <w:t>The specific high-risk area — name it, not 'high-risk areas' generically.</w:t>
      </w:r>
    </w:p>
    <w:p>
      <w:pPr>
        <w:pStyle w:val="ListParagraph"/>
      </w:pPr>
      <w:r>
        <w:rPr>
          <w:b/>
        </w:rPr>
        <w:t xml:space="preserve">Surveillance Frequency: </w:t>
      </w:r>
      <w:r>
        <w:t>How often surveillance actually happens there.</w:t>
      </w:r>
    </w:p>
    <w:p>
      <w:pPr>
        <w:pStyle w:val="ListParagraph"/>
      </w:pPr>
      <w:r>
        <w:rPr>
          <w:b/>
        </w:rPr>
        <w:t xml:space="preserve">Mode: </w:t>
      </w:r>
      <w:r>
        <w:t>How it's actually done.</w:t>
      </w:r>
    </w:p>
    <w:p>
      <w:pPr>
        <w:pStyle w:val="ListParagraph"/>
      </w:pPr>
      <w:r>
        <w:rPr>
          <w:b/>
        </w:rPr>
        <w:t xml:space="preserve">Last Confirmed: </w:t>
      </w:r>
      <w:r>
        <w:t>The date this frequency/mode was last confirmed still appropriate.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High-Risk Area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Surveillance Frequency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Confirmed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OT (during a live construction project nearby)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Weekly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Environmental round + air-quality spot check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