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IPC.6.d — Hand-hygiene compliance monitoring</w:t>
      </w:r>
    </w:p>
    <w:p>
      <w:r>
        <w:rPr>
          <w:b/>
          <w:sz w:val="30"/>
        </w:rPr>
        <w:t>IPC.6 Record 7 — Hand-hygiene compliance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“Monthly compliance monitoring records covering all categories of direct-patient-care staff.” — the specific evidence element IPC.6.d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month once real compliance data is actually collected and shared back to staff. The worked example below shows a real entry: on 10-Jan-2026, area / item checked was “Hand-hygiene compliance observed — nursing staff,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Compliance data that never reaches the staff being observed changes nothing — people only improve what they can see is actually being measured and shared back. This record proves the numbers were collected across every category of direct-patient-care staff, and were genuinely communicated back to them, not just filed with the IPC team.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Hand-hygiene compliance observed — nursing staff,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