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IPC.7.b — Cleaning-packing-sterilisation-storage-issue guidance</w:t>
      </w:r>
    </w:p>
    <w:p>
      <w:r>
        <w:rPr>
          <w:b/>
          <w:sz w:val="30"/>
        </w:rPr>
        <w:t>IPC.7 Record 7 — Cleaning-packing-sterilisation-storage-issue guidance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CSSD (Central Sterile Services Department) is the hospital's dedicated unit that cleans, packs and sterilises reusable instruments and equipment before they go back out for use on the next patient. This record is where you keep the proof for: “Load records showing sterilised items stored appropriately (not only in CSSD).” — the specific evidence element IPC.7.b (CORE*) of this policy asks for. Every time this activity actually happens, whoever did it adds one new row below with: Load Number, Storage Location, Storage Condition Confirmed, Checked By,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CSSD technician logs a new entry for each real load as it's actually processed, packed and issued. The worked example below shows a real entry: on 10-Jan-2026, load number was “AUT-2026-0110-03”, storage location was “OT sterile store (not CSSD)”, storage condition confirmed was “Closed cabinet, off the floor, away from moisture —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single missed step in cleaning, packing or sterilising an instrument can leave it looking sterile when it isn't — and there's no way to tell just by looking at it. This record is the evidence that every step of the cycle, including which decontamination method actually fits which item (the Spaulding classification), was followed and documented, not assumed. This is a CORE requirement — NABH treats it as non-negotiable, not aspirational.</w:t>
            </w:r>
          </w:p>
        </w:tc>
      </w:tr>
    </w:tbl>
    <w:p/>
    <w:p>
      <w:r>
        <w:rPr>
          <w:b/>
          <w:sz w:val="22"/>
        </w:rPr>
        <w:t>How to fill this in — column by column</w:t>
      </w:r>
    </w:p>
    <w:p>
      <w:pPr>
        <w:pStyle w:val="ListParagraph"/>
      </w:pPr>
      <w:r>
        <w:rPr>
          <w:b/>
        </w:rPr>
        <w:t xml:space="preserve">Load Number: </w:t>
      </w:r>
      <w:r>
        <w:t>The load this storage check covers.</w:t>
      </w:r>
    </w:p>
    <w:p>
      <w:pPr>
        <w:pStyle w:val="ListParagraph"/>
      </w:pPr>
      <w:r>
        <w:rPr>
          <w:b/>
        </w:rPr>
        <w:t xml:space="preserve">Storage Location: </w:t>
      </w:r>
      <w:r>
        <w:t>Where it's actually stored — including areas outside CSSD, like OT stores.</w:t>
      </w:r>
    </w:p>
    <w:p>
      <w:pPr>
        <w:pStyle w:val="ListParagraph"/>
      </w:pPr>
      <w:r>
        <w:rPr>
          <w:b/>
        </w:rPr>
        <w:t xml:space="preserve">Storage Condition Confirmed: </w:t>
      </w:r>
      <w:r>
        <w:t>Y or N against the actual storage requirements — not assumed.</w:t>
      </w:r>
    </w:p>
    <w:p>
      <w:pPr>
        <w:pStyle w:val="ListParagraph"/>
      </w:pPr>
      <w:r>
        <w:rPr>
          <w:b/>
        </w:rPr>
        <w:t xml:space="preserve">Checked By: </w:t>
      </w:r>
      <w:r>
        <w:t>Who checked it.</w:t>
      </w:r>
    </w:p>
    <w:p>
      <w:pPr>
        <w:pStyle w:val="ListParagraph"/>
      </w:pPr>
      <w:r>
        <w:rPr>
          <w:b/>
        </w:rPr>
        <w:t xml:space="preserve">Date: </w:t>
      </w:r>
      <w:r>
        <w:t>Date of the check.</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Load Number</w:t>
            </w:r>
          </w:p>
        </w:tc>
        <w:tc>
          <w:tcPr>
            <w:tcW w:type="dxa" w:w="1936"/>
            <w:shd w:val="clear" w:fill="D9E2F3"/>
          </w:tcPr>
          <w:p>
            <w:r/>
            <w:r>
              <w:rPr>
                <w:b/>
                <w:sz w:val="20"/>
              </w:rPr>
              <w:t>Storage Location</w:t>
            </w:r>
          </w:p>
        </w:tc>
        <w:tc>
          <w:tcPr>
            <w:tcW w:type="dxa" w:w="1936"/>
            <w:shd w:val="clear" w:fill="D9E2F3"/>
          </w:tcPr>
          <w:p>
            <w:r/>
            <w:r>
              <w:rPr>
                <w:b/>
                <w:sz w:val="20"/>
              </w:rPr>
              <w:t>Storage Condition Confirmed</w:t>
            </w:r>
          </w:p>
        </w:tc>
        <w:tc>
          <w:tcPr>
            <w:tcW w:type="dxa" w:w="1936"/>
            <w:shd w:val="clear" w:fill="D9E2F3"/>
          </w:tcPr>
          <w:p>
            <w:r/>
            <w:r>
              <w:rPr>
                <w:b/>
                <w:sz w:val="20"/>
              </w:rPr>
              <w:t>Checked By</w:t>
            </w:r>
          </w:p>
        </w:tc>
        <w:tc>
          <w:tcPr>
            <w:tcW w:type="dxa" w:w="1936"/>
            <w:shd w:val="clear" w:fill="D9E2F3"/>
          </w:tcPr>
          <w:p>
            <w:r/>
            <w:r>
              <w:rPr>
                <w:b/>
                <w:sz w:val="20"/>
              </w:rPr>
              <w:t>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AUT-2026-0110-03</w:t>
            </w:r>
          </w:p>
        </w:tc>
        <w:tc>
          <w:tcPr>
            <w:tcW w:type="dxa" w:w="1936"/>
            <w:shd w:val="clear" w:fill="FFF2CC"/>
          </w:tcPr>
          <w:p>
            <w:r/>
            <w:r>
              <w:rPr>
                <w:b w:val="0"/>
                <w:sz w:val="20"/>
              </w:rPr>
              <w:t>OT sterile store (not CSSD)</w:t>
            </w:r>
          </w:p>
        </w:tc>
        <w:tc>
          <w:tcPr>
            <w:tcW w:type="dxa" w:w="1936"/>
            <w:shd w:val="clear" w:fill="FFF2CC"/>
          </w:tcPr>
          <w:p>
            <w:r/>
            <w:r>
              <w:rPr>
                <w:b w:val="0"/>
                <w:sz w:val="20"/>
              </w:rPr>
              <w:t>Closed cabinet, off the floor, away from moisture — Y</w:t>
            </w:r>
          </w:p>
        </w:tc>
        <w:tc>
          <w:tcPr>
            <w:tcW w:type="dxa" w:w="1936"/>
            <w:shd w:val="clear" w:fill="FFF2CC"/>
          </w:tcPr>
          <w:p>
            <w:r/>
            <w:r>
              <w:rPr>
                <w:b w:val="0"/>
                <w:sz w:val="20"/>
              </w:rPr>
              <w:t>OT In-charge</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