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MOM.2.e — Medication acquisition procedure (Commitment*)</w:t>
      </w:r>
    </w:p>
    <w:p>
      <w:r>
        <w:rPr>
          <w:b/>
          <w:sz w:val="30"/>
        </w:rPr>
        <w:t>MOM.2 Record 6 — Medication Acquisition Procedure Coverage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the documented acquisition procedure covers all six required elements. Every time this happens for real, whoever is responsible adds one new row to the table below, filling in: Element, Documented (Y/N), Section Reference.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the documented acquisition procedure covers all six required elements. The worked example below shows a real entry: element was “Vendor selection criteria”, documented (y/n) was “Yes”, section reference was “Section 5.5.1”.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rule that's never checked against real practice is just a document — this record is what proves it's actually being followed.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Element: </w:t>
      </w:r>
      <w:r>
        <w:t>Enter the actual element for this specific entry — real information from what actually happened, not a placeholder. The worked example row below shows 'Vendor selection criteria'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Section Reference: </w:t>
      </w:r>
      <w:r>
        <w:t>Which section/page of the source document this maps to. The worked example row below shows 'Section 5.5.1'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Documented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Section Reference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Vendor selection criteria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Section 5.5.1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