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MOM.2.e — Medication acquisition procedure (Commitment*)</w:t>
      </w:r>
    </w:p>
    <w:p>
      <w:r>
        <w:rPr>
          <w:b/>
          <w:sz w:val="30"/>
        </w:rPr>
        <w:t>MOM.2 Record 7 — Vendor Evaluation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evaluation of medication vendors against defined criteria. Every time this happens for real, whoever is responsible adds one new row to the table below, filling in: Vendor Name, Evaluation Date, Criteria Met (Y/N), Evaluated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evaluation of medication vendors against defined criteria. The worked example below shows a real entry: on 15-Jan-2026, vendor name was “ABC Pharma Distributors”, criteria met (y/n) was “Yes”, evaluated by was “Purchase Committee”.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medication vendor that's never actually evaluated against real criteria is a supply-chain risk nobody has checked — this record proves the evaluation genuinely happened.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Vendor Name: </w:t>
      </w:r>
      <w:r>
        <w:t>Enter the actual vendor name for this specific entry — real information from what actually happened, not a placeholder. The worked example row below shows 'ABC Pharma Distributors'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Evaluation Date: </w:t>
      </w:r>
      <w:r>
        <w:t>Enter the actual evaluation date for this specific entry — real information from what actually happened, not a placeholder. The worked example row below shows '15-Jan-2026'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Criteria Met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Evaluated By: </w:t>
      </w:r>
      <w:r>
        <w:t>Enter the actual evaluated by for this specific entry — real information from what actually happened, not a placeholder. The worked example row below shows 'Purchase Committee'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Vendor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Evaluation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Criteria Met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Evaluated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ABC Pharma Distributors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Purchase Committee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