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MOM.7.b — Labelling before preparing second drug (Commitment)</w:t>
      </w:r>
    </w:p>
    <w:p>
      <w:r>
        <w:rPr>
          <w:b/>
          <w:sz w:val="30"/>
        </w:rPr>
        <w:t>MOM.7 Record 2 — Multi-Drug Preparation Labelling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labelling before preparing a second drug whenever more than one drug is prepared and loaded. Every time this happens for real, whoever is responsible adds one new row to the table below, filling in: Patient ID, First Drug Labelled (Y/N), Second Drug Labelled Before Prep (Y/N), Prepared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labelling before preparing a second drug whenever more than one drug is prepared and loaded. The worked example below shows a real entry: patient id was “IP-2026-0440”, first drug labelled (y/n) was “Yes”, second drug labelled before prep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 This element is also starred, meaning NABH specifically requires written documentary evidence, not just a verbal assurance that the practice happens.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'IP-2026-0440'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First Drug Labelled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Second Drug Labelled Before Prep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Prepared By: </w:t>
      </w:r>
      <w:r>
        <w:t>Enter the actual prepared by for this specific entry — real information from what actually happened, not a placeholder. The worked example row below shows 'Nurse P. Bose'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First Drug Labelled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Second Drug Labelled Before Prep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IP-2026-0440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Nurse P. Bose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