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MOM.9.a — Written guidance for special drug categories (Commitment*)</w:t>
      </w:r>
    </w:p>
    <w:p>
      <w:r>
        <w:rPr>
          <w:b/>
          <w:sz w:val="30"/>
        </w:rPr>
        <w:t>MOM.9 Record 1 — Special Drug Category Guidance Coverage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guidance covers all handling requirements for narcotic drugs, psychotropic substances, chemotherapeutic agents, and radio-pharmaceuticals. Every time this happens for real, whoever is responsible adds one new row to the table below, filling in: Drug Category, Handling Requirements Documented (Y/N), Based on Current Regulation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written guidance covers all handling requirements for narcotic drugs, psychotropic substances, chemotherapeutic agents, and radio-pharmaceuticals. The worked example below shows a real entry: drug category was “Narcotic drugs”, handling requirements documented (y/n) was “Yes”, based on current regulation (y/n) was “Yes, NDPS Act 1985 + Rules”.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rule that's never checked against real practice is just a document — this record is what proves it's actually being followed.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Drug Category: </w:t>
      </w:r>
      <w:r>
        <w:t>Enter the actual drug category for this specific entry — real information from what actually happened, not a placeholder. The worked example row below shows 'Narcotic drugs'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Handling Requirements Documented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Based on Current Regulation (Y/N): </w:t>
      </w:r>
      <w:r>
        <w:t>Answer honestly with what's actually true — Y or N. Don't default to Y without checking. The worked example row below shows 'Yes, NDPS Act 1985 + Rules'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Drug Category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Handling Requirements Documented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Based on Current Regulation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Narcotic drugs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Yes, NDPS Act 1985 + Rules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