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PRE.4.a — Consent list and process guidance (starred CORE — written evidence required, non-negotiable)</w:t>
      </w:r>
    </w:p>
    <w:p>
      <w:r>
        <w:rPr>
          <w:b/>
          <w:sz w:val="30"/>
        </w:rPr>
        <w:t>PRE.4 Record 4 — Completed Consent Forms Register (Listed Procedures)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simple register cross-checking that for every listed procedure actually performed, a completed consent form genuinely exists on file.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10-Jan-2026, patient/uhid was “UHID 12100”, procedure was “Appendicectomy”, consent form on file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single record an assessor is most likely to spot-check — it's the direct proof the whole consent system worked for a real patient.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Procedure: </w:t>
      </w:r>
      <w:r>
        <w:t>Which procedure.</w:t>
      </w:r>
    </w:p>
    <w:p>
      <w:pPr>
        <w:pStyle w:val="ListParagraph"/>
      </w:pPr>
      <w:r>
        <w:rPr>
          <w:b/>
        </w:rPr>
        <w:t xml:space="preserve">Consent Form on File (Y/N): </w:t>
      </w:r>
      <w:r>
        <w:t>Whether the form is on file — Y/N.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Consent Form on File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12100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Appendicectomy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