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PRE.5.c — Food-drug interaction education</w:t>
      </w:r>
    </w:p>
    <w:p>
      <w:r>
        <w:rPr>
          <w:b/>
          <w:sz w:val="30"/>
        </w:rPr>
        <w:t>PRE.5 Record 5 — Food-Drug Interaction Counselling/Diet-Note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Proof a patient prescribed one of the drugs on Record 4's list was actually told about the interaction.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trainer or counsellor adds a new row right after a real session with real staff or a real patient actually takes place. The worked example below shows a real entry: on 05-Jan-2026, patient/uhid was “UHID 13020”, drug was “Metronidazole”, interaction explained was “Avoid alcohol during course”.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Same logic as Record 3 — the list is only useful if it actually reaches the patient.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Drug: </w:t>
      </w:r>
      <w:r>
        <w:t>Which drug.</w:t>
      </w:r>
    </w:p>
    <w:p>
      <w:pPr>
        <w:pStyle w:val="ListParagraph"/>
      </w:pPr>
      <w:r>
        <w:rPr>
          <w:b/>
        </w:rPr>
        <w:t xml:space="preserve">Interaction Explained: </w:t>
      </w:r>
      <w:r>
        <w:t>What interaction was explained.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Drug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Interaction Explained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UHID 13020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Metronidazole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Avoid alcohol during course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