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PRE.5.i — Special educational needs</w:t>
      </w:r>
    </w:p>
    <w:p>
      <w:r>
        <w:rPr>
          <w:b/>
          <w:sz w:val="30"/>
        </w:rPr>
        <w:t>PRE.5 Record 15 — Adapted Education/Counselling Record for Special Needs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once a special need was identified (Record 14), the hospital actually changed its education approach to fit it — not just noted the need and moved on with the standard method anyway.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13-Jan-2026, patient/uhid was “UHID 13100”, need addressed was “Speech and communication needs”, adapted method used was “Pictorial communication board used”.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Identifying a need without adapting to it is a box-ticking exercise, not real accommodation.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Need Addressed: </w:t>
      </w:r>
      <w:r>
        <w:t>Which need was being addressed.</w:t>
      </w:r>
    </w:p>
    <w:p>
      <w:pPr>
        <w:pStyle w:val="ListParagraph"/>
      </w:pPr>
      <w:r>
        <w:rPr>
          <w:b/>
        </w:rPr>
        <w:t xml:space="preserve">Adapted Method Used: </w:t>
      </w:r>
      <w:r>
        <w:t>What adapted method was actually used.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Need Addressed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Adapted Method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13100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Speech and communication needs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Pictorial communication board used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