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PRE.6.b — Maintaining the tariff list</w:t>
      </w:r>
    </w:p>
    <w:p>
      <w:r>
        <w:rPr>
          <w:b/>
          <w:sz w:val="30"/>
        </w:rPr>
        <w:t>PRE.6 Record 3 — Current Tariff 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The full, current price list for every chargeable item, available for a patient to look at.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document owner updates this only when the actual mechanism, policy or pricing genuinely changes. The worked example below shows a real entry: on 01-Jan-2026, version was “v3.0”, approved by was “Medical Superintendent”.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the master reference every actual bill should be checked against (Record 4).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 number.</w:t>
      </w:r>
    </w:p>
    <w:p>
      <w:pPr>
        <w:pStyle w:val="ListParagraph"/>
      </w:pPr>
      <w:r>
        <w:rPr>
          <w:b/>
        </w:rPr>
        <w:t xml:space="preserve">Date Effective: </w:t>
      </w:r>
      <w:r>
        <w:t>Date it took effect.</w:t>
      </w:r>
    </w:p>
    <w:p>
      <w:pPr>
        <w:pStyle w:val="ListParagraph"/>
      </w:pPr>
      <w:r>
        <w:rPr>
          <w:b/>
        </w:rPr>
        <w:t xml:space="preserve">Approved By: </w:t>
      </w:r>
      <w:r>
        <w:t>Who approved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Date Effective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v3.0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Medical Superintendent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