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PRE.6.d — Communicating financial implications of care-plan changes</w:t>
      </w:r>
    </w:p>
    <w:p>
      <w:r>
        <w:rPr>
          <w:b/>
          <w:sz w:val="30"/>
        </w:rPr>
        <w:t>PRE.6 Record 9 — No Surprise Discharge Charge Confirmation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final check at discharge cross-referencing Record 8, confirming the bill doesn't contain any charge tied to a known care-plan change that the patient wasn't told about in advance.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12-Jan-2026, patient/uhid was “UHID 14040”, confirmed by was “Patient Accounts In-Charge” — so result was “No surprise 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closing loop — it's the record that actually catches a surprise charge before the patient does, at the point where it's easiest to still fix.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of Discharge: </w:t>
      </w:r>
      <w:r>
        <w:t>Discharge 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Confirmed By: </w:t>
      </w:r>
      <w:r>
        <w:t>Who confirmed it.</w:t>
      </w:r>
    </w:p>
    <w:p>
      <w:pPr>
        <w:pStyle w:val="ListParagraph"/>
      </w:pPr>
      <w:r>
        <w:rPr>
          <w:b/>
        </w:rPr>
        <w:t xml:space="preserve">Result: </w:t>
      </w:r>
      <w:r>
        <w:t>What was found — should say no surprise charge.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of Discharge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14040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Patient Accounts In-Charge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 surprise charge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