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PRE.8.d — No unacceptable communication</w:t>
      </w:r>
    </w:p>
    <w:p>
      <w:r>
        <w:rPr>
          <w:b/>
          <w:sz w:val="30"/>
        </w:rPr>
        <w:t>PRE.8 Record 12 — Training Record Naming Examples So Staff Can Recognise the Line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training on unacceptable communication used real, concrete examples — not just an abstract 'be respectful' instruction that leaves the actual line undefined.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03-Jan-2026, staff name was “Riya Mehta”, examples covered was “Dismissive tone, ignoring religious dietary requests”.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avoid crossing a line they were never shown examples of — vague training doesn't actually change behaviour.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Staff Name: </w:t>
      </w:r>
      <w:r>
        <w:t>Staff name.</w:t>
      </w:r>
    </w:p>
    <w:p>
      <w:pPr>
        <w:pStyle w:val="ListParagraph"/>
      </w:pPr>
      <w:r>
        <w:rPr>
          <w:b/>
        </w:rPr>
        <w:t xml:space="preserve">Examples Covered: </w:t>
      </w:r>
      <w:r>
        <w:t>What examples were actually covered.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Examples Covered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Riya Mehta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Dismissive tone, ignoring religious dietary requests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