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PSQ.1 — Programme scope and incident coverage</w:t>
      </w:r>
    </w:p>
    <w:p>
      <w:r>
        <w:rPr>
          <w:b/>
          <w:sz w:val="30"/>
        </w:rPr>
        <w:t>PSQ.1 Record 5 — Programme scope and incident coverage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“Documentation showing the patient safety programme is comprehensive and covers all elements of safety for clinical and support services.” — the specific evidence element Programme scope and incident coverage of this policy asks for. Every time this activity actually happens, whoever did it adds one new row below with: Term/Area, Definition or Coverage Confirmed, Date Defined/Confirmed, Confirmed By.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Coordinator uses this record once, when the patient-safety programme's scope and the organisation's own definitions of 'no harm' and 'sentinel event' are first agreed and whenever they're revised. The worked example below shows a real entry: on 01-Jan-2026, term/area was “Sentinel event”, definition or coverage confirmed was “A serious, unexpected incident causing death or major harm — organisation-specific examples listed separately”, confirmed by was “Safety Committee”.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safety programme that only covers the wards and quietly skips support services (like CSSD, laundry, dietary) leaves real hazards unmanaged — this record proves the programme's coverage and the organisation's own working definitions of 'no harm' and 'sentinel event' are actually written down, not assumed. NABH checks this as part of how a genuine patient-safety and quality programme actually runs.</w:t>
            </w:r>
          </w:p>
        </w:tc>
      </w:tr>
    </w:tbl>
    <w:p/>
    <w:p>
      <w:r>
        <w:rPr>
          <w:b/>
          <w:sz w:val="22"/>
        </w:rPr>
        <w:t>How to fill this in — column by column</w:t>
      </w:r>
    </w:p>
    <w:p>
      <w:pPr>
        <w:pStyle w:val="ListParagraph"/>
      </w:pPr>
      <w:r>
        <w:rPr>
          <w:b/>
        </w:rPr>
        <w:t xml:space="preserve">Term/Area: </w:t>
      </w:r>
      <w:r>
        <w:t>The specific term or area being defined or confirmed as covered — e.g. 'no harm', 'sentinel event', or a support-service area.</w:t>
      </w:r>
    </w:p>
    <w:p>
      <w:pPr>
        <w:pStyle w:val="ListParagraph"/>
      </w:pPr>
      <w:r>
        <w:rPr>
          <w:b/>
        </w:rPr>
        <w:t xml:space="preserve">Definition or Coverage Confirmed: </w:t>
      </w:r>
      <w:r>
        <w:t>The actual definition agreed, or what was confirmed as covered — write the real wording, not 'as per policy.'</w:t>
      </w:r>
    </w:p>
    <w:p>
      <w:pPr>
        <w:pStyle w:val="ListParagraph"/>
      </w:pPr>
      <w:r>
        <w:rPr>
          <w:b/>
        </w:rPr>
        <w:t xml:space="preserve">Date Defined/Confirmed: </w:t>
      </w:r>
      <w:r>
        <w:t>The date this was actually defined or confirmed.</w:t>
      </w:r>
    </w:p>
    <w:p>
      <w:pPr>
        <w:pStyle w:val="ListParagraph"/>
      </w:pPr>
      <w:r>
        <w:rPr>
          <w:b/>
        </w:rPr>
        <w:t xml:space="preserve">Confirmed By: </w:t>
      </w:r>
      <w:r>
        <w:t>Who signed off on it.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Term/Area</w:t>
            </w:r>
          </w:p>
        </w:tc>
        <w:tc>
          <w:tcPr>
            <w:tcW w:type="dxa" w:w="2420"/>
            <w:shd w:val="clear" w:fill="D9E2F3"/>
          </w:tcPr>
          <w:p>
            <w:r/>
            <w:r>
              <w:rPr>
                <w:b/>
                <w:sz w:val="20"/>
              </w:rPr>
              <w:t>Definition or Coverage Confirmed</w:t>
            </w:r>
          </w:p>
        </w:tc>
        <w:tc>
          <w:tcPr>
            <w:tcW w:type="dxa" w:w="2420"/>
            <w:shd w:val="clear" w:fill="D9E2F3"/>
          </w:tcPr>
          <w:p>
            <w:r/>
            <w:r>
              <w:rPr>
                <w:b/>
                <w:sz w:val="20"/>
              </w:rPr>
              <w:t>Date Defined/Confirmed</w:t>
            </w:r>
          </w:p>
        </w:tc>
        <w:tc>
          <w:tcPr>
            <w:tcW w:type="dxa" w:w="2420"/>
            <w:shd w:val="clear" w:fill="D9E2F3"/>
          </w:tcPr>
          <w:p>
            <w:r/>
            <w:r>
              <w:rPr>
                <w:b/>
                <w:sz w:val="20"/>
              </w:rPr>
              <w:t>Confirmed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Sentinel event</w:t>
            </w:r>
          </w:p>
        </w:tc>
        <w:tc>
          <w:tcPr>
            <w:tcW w:type="dxa" w:w="2420"/>
            <w:shd w:val="clear" w:fill="FFF2CC"/>
          </w:tcPr>
          <w:p>
            <w:r/>
            <w:r>
              <w:rPr>
                <w:b w:val="0"/>
                <w:sz w:val="20"/>
              </w:rPr>
              <w:t>A serious, unexpected incident causing death or major harm — organisation-specific examples listed separately</w:t>
            </w:r>
          </w:p>
        </w:tc>
        <w:tc>
          <w:tcPr>
            <w:tcW w:type="dxa" w:w="2420"/>
            <w:shd w:val="clear" w:fill="FFF2CC"/>
          </w:tcPr>
          <w:p>
            <w:r/>
            <w:r>
              <w:rPr>
                <w:b w:val="0"/>
                <w:sz w:val="20"/>
              </w:rPr>
              <w:t>01-Jan-2026</w:t>
            </w:r>
          </w:p>
        </w:tc>
        <w:tc>
          <w:tcPr>
            <w:tcW w:type="dxa" w:w="2420"/>
            <w:shd w:val="clear" w:fill="FFF2CC"/>
          </w:tcPr>
          <w:p>
            <w:r/>
            <w:r>
              <w:rPr>
                <w:b w:val="0"/>
                <w:sz w:val="20"/>
              </w:rPr>
              <w:t>Safety Committee</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