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PSQ.2 — Process improvement and clinical care</w:t>
      </w:r>
    </w:p>
    <w:p>
      <w:r>
        <w:rPr>
          <w:b/>
          <w:sz w:val="30"/>
        </w:rPr>
        <w:t>PSQ.2 Record 9 — Process improvement and clinical care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“Documents showing managerial process innovations promoted by management.” — the specific evidence element Process improvement and clinical care of this policy asks for. Every time this activity actually happens, whoever did it adds one new row below with: Date, Tool/Strategy Used, Process Improved, Led By, Result.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A department head or quality team member uses this record whenever a quality tool is applied to improve a process, or a utilisation review of length of stay, procedures, investigations or treatment is carried out. The worked example below shows a real entry: on 10-Feb-2026, tool/strategy used was “Fishbone diagram + PDSA”, process improved was “OT turnaround time between cases”, led by was “OT In-charge” — so result was “Turnaround reduced from 45 to 28 minutes”.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Quality tools that are never actually used to change a process are just training-room theory — this record proves a real quality tool or strategy was applied to a real process, and that doctors and nurses are genuinely reviewing whether care (length of stay, procedures, investigations) was actually appropriate, not just documented.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the improvement activity actually took place.</w:t>
      </w:r>
    </w:p>
    <w:p>
      <w:pPr>
        <w:pStyle w:val="ListParagraph"/>
      </w:pPr>
      <w:r>
        <w:rPr>
          <w:b/>
        </w:rPr>
        <w:t xml:space="preserve">Tool/Strategy Used: </w:t>
      </w:r>
      <w:r>
        <w:t>The actual quality tool or strategy used — name it.</w:t>
      </w:r>
    </w:p>
    <w:p>
      <w:pPr>
        <w:pStyle w:val="ListParagraph"/>
      </w:pPr>
      <w:r>
        <w:rPr>
          <w:b/>
        </w:rPr>
        <w:t xml:space="preserve">Process Improved: </w:t>
      </w:r>
      <w:r>
        <w:t>The specific process that was improved.</w:t>
      </w:r>
    </w:p>
    <w:p>
      <w:pPr>
        <w:pStyle w:val="ListParagraph"/>
      </w:pPr>
      <w:r>
        <w:rPr>
          <w:b/>
        </w:rPr>
        <w:t xml:space="preserve">Led By: </w:t>
      </w:r>
      <w:r>
        <w:t>Who led it.</w:t>
      </w:r>
    </w:p>
    <w:p>
      <w:pPr>
        <w:pStyle w:val="ListParagraph"/>
      </w:pPr>
      <w:r>
        <w:rPr>
          <w:b/>
        </w:rPr>
        <w:t xml:space="preserve">Result: </w:t>
      </w:r>
      <w:r>
        <w:t>The actual measured result.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Tool/Strategy Used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Process Improved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Led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10-Feb-2026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Fishbone diagram + PDSA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OT turnaround time between cases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OT In-charge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Turnaround reduced from 45 to 28 minutes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