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PSQ.2 — Process improvement and clinical care</w:t>
      </w:r>
    </w:p>
    <w:p>
      <w:r>
        <w:rPr>
          <w:b/>
          <w:sz w:val="30"/>
        </w:rPr>
        <w:t>PSQ.2 Record 11 — Process improvement and clinical care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“Participation of doctors and nurses in utilisation review.” — the specific evidence element Process improvement and clinical care of this policy asks for. Every time this activity actually happens, whoever did it adds one new row below with: Date, Patient/Case Reviewed, Element Reviewed (LOS/Procedure/Investigation/Treatment), Reviewed By (Dr/Nurse), Finding.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A department head or quality team member uses this record whenever a quality tool is applied to improve a process, or a utilisation review of length of stay, procedures, investigations or treatment is carried out. The worked example below shows a real entry: on 10-Feb-2026, patient/case reviewed was “UHID 20456”, element reviewed (los/procedure/investigation/treatment) was “Length of stay appropriateness”, reviewed by (dr/nurse) was “Dr. S. Nair + Nursing In-charge” — so finding was “LOS appropriate for clinical presentation”.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Quality tools that are never actually used to change a process are just training-room theory — this record proves a real quality tool or strategy was applied to a real process, and that doctors and nurses are genuinely reviewing whether care (length of stay, procedures, investigations) was actually appropriate, not just documented.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review.</w:t>
      </w:r>
    </w:p>
    <w:p>
      <w:pPr>
        <w:pStyle w:val="ListParagraph"/>
      </w:pPr>
      <w:r>
        <w:rPr>
          <w:b/>
        </w:rPr>
        <w:t xml:space="preserve">Patient/Case Reviewed: </w:t>
      </w:r>
      <w:r>
        <w:t>The specific patient/case reviewed.</w:t>
      </w:r>
    </w:p>
    <w:p>
      <w:pPr>
        <w:pStyle w:val="ListParagraph"/>
      </w:pPr>
      <w:r>
        <w:rPr>
          <w:b/>
        </w:rPr>
        <w:t xml:space="preserve">Element Reviewed (LOS/Procedure/Investigation/Treatment): </w:t>
      </w:r>
      <w:r>
        <w:t>Which element this row covers.</w:t>
      </w:r>
    </w:p>
    <w:p>
      <w:pPr>
        <w:pStyle w:val="ListParagraph"/>
      </w:pPr>
      <w:r>
        <w:rPr>
          <w:b/>
        </w:rPr>
        <w:t xml:space="preserve">Reviewed By (Dr/Nurse): </w:t>
      </w:r>
      <w:r>
        <w:t>Who actually did the review — must include both doctor and nurse participation over time, not one profession alone.</w:t>
      </w:r>
    </w:p>
    <w:p>
      <w:pPr>
        <w:pStyle w:val="ListParagraph"/>
      </w:pPr>
      <w:r>
        <w:rPr>
          <w:b/>
        </w:rPr>
        <w:t xml:space="preserve">Finding: </w:t>
      </w:r>
      <w:r>
        <w:t>What was actually found.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Patient/Case Reviewed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Element Reviewed (LOS/Procedure/Investigation/Treatment)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Reviewed By (Dr/Nurse)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Finding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20456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Length of stay appropriateness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S. Nair + Nursing In-charge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LOS appropriate for clinical presentation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