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Clinical indicators</w:t>
      </w:r>
    </w:p>
    <w:p>
      <w:r>
        <w:rPr>
          <w:b/>
          <w:sz w:val="30"/>
        </w:rPr>
        <w:t>PSQ.3 Record 1 — Clinical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“Current list of priority clinical indicators and their monitoring results.” — the specific evidence element Clinical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the monitoring result for a priority clinical indicator. The worked example below shows a real entry: on Jan-2026, indicator name was “Post-operative wound infection rate”, numerator was “Number of post-operative wound infections”, denominator was “Number of surgical procedures performed” — so result was “2.1%”.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Indicators nobody defines precisely become useless for comparison over time — this record proves the hospital is tracking real priority clinical indicators (including any mandated by government or NABH) with an exact numerator, denominator and multiplier for each, not a vague description.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Post-operative wound infection rate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post-operative wound infections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surgical procedures performed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Surgical-site infection surveillance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2.1%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&lt;3%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PSQ.3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Centers for Disease Control and Prevention — National Healthcare Safety Network (NHSN), Patient Safety Component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Ministry of Health and Family Welfare, Government of India (2018) — National Patient Safety Implementation Framework (2018–2025)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dc.gov/nhsn/psc/index.html" TargetMode="External"/><Relationship Id="rId10" Type="http://schemas.openxmlformats.org/officeDocument/2006/relationships/hyperlink" Target="https://main.mohfw.gov.in/sites/default/files/national%20patient%20safety%20implimentation_for%20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