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Clinical indicators</w:t>
      </w:r>
    </w:p>
    <w:p>
      <w:r>
        <w:rPr>
          <w:b/>
          <w:sz w:val="30"/>
        </w:rPr>
        <w:t>PSQ.3 Record 3 — Clinical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“For each indicator, a defined numerator, denominator and multiplier.” — the specific evidence element Clinical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the monitoring result for a priority clinical indicator. The worked example below shows a real entry: on Jan-2026, indicator name was “Post-operative wound infection rate”, numerator was “Number of post-operative wound infections”, denominator was “Number of surgical procedures performed” — so result was “2.1%”.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Indicators nobody defines precisely become useless for comparison over time — this record proves the hospital is tracking real priority clinical indicators (including any mandated by government or NABH) with an exact numerator, denominator and multiplier for each, not a vague description.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Post-operative wound infection rate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post-operative wound infections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surgical procedures performed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Surgical-site infection surveillance log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2.1%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&lt;3%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