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Safety culture</w:t>
      </w:r>
    </w:p>
    <w:p>
      <w:r>
        <w:rPr>
          <w:b/>
          <w:sz w:val="30"/>
        </w:rPr>
        <w:t>PSQ.6 Record 3 — Safety culture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Safety culture means how much staff at every level actually believe that raising a safety concern is welcomed, not punished — measured by survey, not assumed. This record is where you keep the proof for: “Materials showing safety-promoting behaviours, information sharing, incident reporting, learning from safety incident analysis, blame-free culture and collaboration across disciplines and departments.” — the specific evidence element Safety culture of this policy asks for. Every time this activity actually happens, whoever did it adds one new row below with: Material/Initiative, Safety Behaviour Promoted, Date, Audience.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annual safety-culture survey is run, its results are reviewed, or safety-promoting materials are used. The worked example below shows a real entry: on 10-Jan-2026, material/initiative was “Ward noticeboard series on 'Speak Up for Safety'”, safety behaviour promoted was “Non-punitive incident reporting; blame-free learning”, audience was “All clinical staff, General Ward”.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assume staff feel safe raising concerns without ever having asked — this record proves a validated survey was actually run at least yearly, that its results led to real management action, and that real materials are actively promoting open reporting and a blame-free culture.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Material/Initiative: </w:t>
      </w:r>
      <w:r>
        <w:t>The actual material or initiative used.</w:t>
      </w:r>
    </w:p>
    <w:p>
      <w:pPr>
        <w:pStyle w:val="ListParagraph"/>
      </w:pPr>
      <w:r>
        <w:rPr>
          <w:b/>
        </w:rPr>
        <w:t xml:space="preserve">Safety Behaviour Promoted: </w:t>
      </w:r>
      <w:r>
        <w:t>Which specific safety-culture behaviour it's promoting — name it, don't write 'safety culture' generically.</w:t>
      </w:r>
    </w:p>
    <w:p>
      <w:pPr>
        <w:pStyle w:val="ListParagraph"/>
      </w:pPr>
      <w:r>
        <w:rPr>
          <w:b/>
        </w:rPr>
        <w:t xml:space="preserve">Date: </w:t>
      </w:r>
      <w:r>
        <w:t>Date it was put up/used.</w:t>
      </w:r>
    </w:p>
    <w:p>
      <w:pPr>
        <w:pStyle w:val="ListParagraph"/>
      </w:pPr>
      <w:r>
        <w:rPr>
          <w:b/>
        </w:rPr>
        <w:t xml:space="preserve">Audience: </w:t>
      </w:r>
      <w:r>
        <w:t>Who it reached.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Material/Initiative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Safety Behaviour Promoted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Ward noticeboard series on 'Speak Up for Safety'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Non-punitive incident reporting; blame-free learning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clinical staff, General Ward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