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Incident management and reporting</w:t>
      </w:r>
    </w:p>
    <w:p>
      <w:r>
        <w:rPr>
          <w:b/>
          <w:sz w:val="30"/>
        </w:rPr>
        <w:t>PSQ.7 Record 2 — Incident management and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“Standardised incident report forms.” — the specific evidence element Incident management and reporting of this policy asks for. Every time this activity actually happens, whoever did it adds one new row below with: Element of Process, How It's Handled, Date Defined/Reviewed.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Any staff member uses this record the moment they identify or report a patient-safety incident, whatever its severity. The worked example below shows a real entry: on 01-Jan-2026, element of process was “Reporting form”, how it's handled was “Standardised incident report form, all staff can submit”.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process that only catches the serious cases misses the near-misses that predict them — this record proves every incident, whatever its severity, is actually captured through a standardised process built for honest, blame-free reporting.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 of Process: </w:t>
      </w:r>
      <w:r>
        <w:t>Which part of the incident-management process this row documents — identification, reporting, review, or action.</w:t>
      </w:r>
    </w:p>
    <w:p>
      <w:pPr>
        <w:pStyle w:val="ListParagraph"/>
      </w:pPr>
      <w:r>
        <w:rPr>
          <w:b/>
        </w:rPr>
        <w:t xml:space="preserve">How It's Handled: </w:t>
      </w:r>
      <w:r>
        <w:t>What was actually put in place for it.</w:t>
      </w:r>
    </w:p>
    <w:p>
      <w:pPr>
        <w:pStyle w:val="ListParagraph"/>
      </w:pPr>
      <w:r>
        <w:rPr>
          <w:b/>
        </w:rPr>
        <w:t xml:space="preserve">Date Defined/Reviewed: </w:t>
      </w:r>
      <w:r>
        <w:t>The date this element was set up or last reviewed.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 of Process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How It's Handled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Defined/Reviewed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Reporting form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Standardised incident report form, all staff can submit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