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PSQ.7 — Incident analysis and response</w:t>
      </w:r>
    </w:p>
    <w:p>
      <w:r>
        <w:rPr>
          <w:b/>
          <w:sz w:val="30"/>
        </w:rPr>
        <w:t>PSQ.7 Record 15 — Incident analysis and response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Root-cause analysis (RCA) is a structured way of asking 'why did this actually happen' repeatedly until you reach the real, underlying cause — not just the first obvious mistake — so the fix addresses the actual problem. This record is where you keep the proof for: “Inputs from concerned units, disciplines or departments where these have been obtained.” — the specific evidence element Incident analysis and response of this policy asks for. Every time this activity actually happens, whoever did it adds one new row below with: Incident Reference, Analysed By (Safety Committee), Analysis Method (RCA etc.), Started Within 24hrs (Y/N, sentinel only), Completed Within 7 Working Days (Y/N, sentinel only).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safety committee uses this record whenever it analyses a reported incident — including giving immediate care to those affected, and meeting the strict sentinel-event timelines. The worked example below shows a real entry: incident reference was “18-Mar-2026 sentinel-event log entry — patient fall resulting in fracture”, analysed by (safety committee) was “Safety Committee”, analysis method (rca etc.) was “Root-cause analysis”.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An incident that's reported but never properly analysed teaches the hospital nothing — this record proves the safety committee actually took responsibility for analysis, gave immediate care to whoever was affected without waiting for the analysis to finish, met the strict timelines for sentinel events (correction started within 24 hours, analysis completed within 7 working days), and — where used — ran a real root-cause analysis with input from the units involved and, where relevant, the patient or family. NABH checks this as part of how a genuine patient-safety and quality programme actually runs.</w:t>
            </w:r>
          </w:p>
        </w:tc>
      </w:tr>
    </w:tbl>
    <w:p/>
    <w:p>
      <w:r>
        <w:rPr>
          <w:b/>
          <w:sz w:val="22"/>
        </w:rPr>
        <w:t>How to fill this in — column by column</w:t>
      </w:r>
    </w:p>
    <w:p>
      <w:pPr>
        <w:pStyle w:val="ListParagraph"/>
      </w:pPr>
      <w:r>
        <w:rPr>
          <w:b/>
        </w:rPr>
        <w:t xml:space="preserve">Incident Reference: </w:t>
      </w:r>
      <w:r>
        <w:t>Which incident this analysis is for.</w:t>
      </w:r>
    </w:p>
    <w:p>
      <w:pPr>
        <w:pStyle w:val="ListParagraph"/>
      </w:pPr>
      <w:r>
        <w:rPr>
          <w:b/>
        </w:rPr>
        <w:t xml:space="preserve">Analysed By (Safety Committee): </w:t>
      </w:r>
      <w:r>
        <w:t>Confirm the Safety Committee did the analysis — this can't be one person alone.</w:t>
      </w:r>
    </w:p>
    <w:p>
      <w:pPr>
        <w:pStyle w:val="ListParagraph"/>
      </w:pPr>
      <w:r>
        <w:rPr>
          <w:b/>
        </w:rPr>
        <w:t xml:space="preserve">Analysis Method (RCA etc.): </w:t>
      </w:r>
      <w:r>
        <w:t>The method used.</w:t>
      </w:r>
    </w:p>
    <w:p>
      <w:pPr>
        <w:pStyle w:val="ListParagraph"/>
      </w:pPr>
      <w:r>
        <w:rPr>
          <w:b/>
        </w:rPr>
        <w:t xml:space="preserve">Started Within 24hrs (Y/N, sentinel only): </w:t>
      </w:r>
      <w:r>
        <w:t>For a sentinel event only: was correction action started within 24 working hours? Write Y/N, or 'N/A' for a non-sentinel incident.</w:t>
      </w:r>
    </w:p>
    <w:p>
      <w:pPr>
        <w:pStyle w:val="ListParagraph"/>
      </w:pPr>
      <w:r>
        <w:rPr>
          <w:b/>
        </w:rPr>
        <w:t xml:space="preserve">Completed Within 7 Working Days (Y/N, sentinel only): </w:t>
      </w:r>
      <w:r>
        <w:t>For a sentinel event only: was the analysis finished within 7 working days? Write Y/N, or 'N/A'.</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Incident Reference</w:t>
            </w:r>
          </w:p>
        </w:tc>
        <w:tc>
          <w:tcPr>
            <w:tcW w:type="dxa" w:w="1936"/>
            <w:shd w:val="clear" w:fill="D9E2F3"/>
          </w:tcPr>
          <w:p>
            <w:r/>
            <w:r>
              <w:rPr>
                <w:b/>
                <w:sz w:val="20"/>
              </w:rPr>
              <w:t>Analysed By (Safety Committee)</w:t>
            </w:r>
          </w:p>
        </w:tc>
        <w:tc>
          <w:tcPr>
            <w:tcW w:type="dxa" w:w="1936"/>
            <w:shd w:val="clear" w:fill="D9E2F3"/>
          </w:tcPr>
          <w:p>
            <w:r/>
            <w:r>
              <w:rPr>
                <w:b/>
                <w:sz w:val="20"/>
              </w:rPr>
              <w:t>Analysis Method (RCA etc.)</w:t>
            </w:r>
          </w:p>
        </w:tc>
        <w:tc>
          <w:tcPr>
            <w:tcW w:type="dxa" w:w="1936"/>
            <w:shd w:val="clear" w:fill="D9E2F3"/>
          </w:tcPr>
          <w:p>
            <w:r/>
            <w:r>
              <w:rPr>
                <w:b/>
                <w:sz w:val="20"/>
              </w:rPr>
              <w:t>Started Within 24hrs (Y/N, sentinel only)</w:t>
            </w:r>
          </w:p>
        </w:tc>
        <w:tc>
          <w:tcPr>
            <w:tcW w:type="dxa" w:w="1936"/>
            <w:shd w:val="clear" w:fill="D9E2F3"/>
          </w:tcPr>
          <w:p>
            <w:r/>
            <w:r>
              <w:rPr>
                <w:b/>
                <w:sz w:val="20"/>
              </w:rPr>
              <w:t>Completed Within 7 Working Days (Y/N, sentinel only)</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18-Mar-2026 sentinel-event log entry — patient fall resulting in fracture</w:t>
            </w:r>
          </w:p>
        </w:tc>
        <w:tc>
          <w:tcPr>
            <w:tcW w:type="dxa" w:w="1936"/>
            <w:shd w:val="clear" w:fill="FFF2CC"/>
          </w:tcPr>
          <w:p>
            <w:r/>
            <w:r>
              <w:rPr>
                <w:b w:val="0"/>
                <w:sz w:val="20"/>
              </w:rPr>
              <w:t>Safety Committee</w:t>
            </w:r>
          </w:p>
        </w:tc>
        <w:tc>
          <w:tcPr>
            <w:tcW w:type="dxa" w:w="1936"/>
            <w:shd w:val="clear" w:fill="FFF2CC"/>
          </w:tcPr>
          <w:p>
            <w:r/>
            <w:r>
              <w:rPr>
                <w:b w:val="0"/>
                <w:sz w:val="20"/>
              </w:rPr>
              <w:t>Root-cause analysis</w:t>
            </w:r>
          </w:p>
        </w:tc>
        <w:tc>
          <w:tcPr>
            <w:tcW w:type="dxa" w:w="1936"/>
            <w:shd w:val="clear" w:fill="FFF2CC"/>
          </w:tcPr>
          <w:p>
            <w:r/>
            <w:r>
              <w:rPr>
                <w:b w:val="0"/>
                <w:sz w:val="20"/>
              </w:rPr>
              <w:t>Y</w:t>
            </w:r>
          </w:p>
        </w:tc>
        <w:tc>
          <w:tcPr>
            <w:tcW w:type="dxa" w:w="1936"/>
            <w:shd w:val="clear" w:fill="FFF2CC"/>
          </w:tcPr>
          <w:p>
            <w:r/>
            <w:r>
              <w:rPr>
                <w:b w:val="0"/>
                <w:sz w:val="20"/>
              </w:rPr>
              <w:t>Y</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