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ROM.1.g — Those responsible for governance shall develop clinical governance framework.</w:t>
      </w:r>
    </w:p>
    <w:p>
      <w:r>
        <w:rPr>
          <w:b/>
          <w:sz w:val="30"/>
        </w:rPr>
        <w:t>ROM.1 Record 19 — Those responsible for governance shall develop clinical governance framework.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“The written clinical-governance framework document (clinical audit, clinical pathways, education, research).” — the specific evidence element Those responsible for governance shall develop clinical governance framework.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when the clinical governance framework is first approved, or later reviewed and updated.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one written clinical governance framework tying together clinical audit, pathways, indicators, education and research, each of those runs as a disconnected activity with nobody accountable for the whole — this record proves the framework is real, owned, and actually kept current. NABH checks this as part of how a functioning governance and leadership structure actually runs.</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