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ROM.2.a — The leaders establish the organisation’s ethical management framework.</w:t>
      </w:r>
    </w:p>
    <w:p>
      <w:r>
        <w:rPr>
          <w:b/>
          <w:sz w:val="30"/>
        </w:rPr>
        <w:t>ROM.2 Record 3 — The leaders establish the organisation’s ethical management framework.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“Evidence the framework exists as a standing document, not meeting minutes only.” — the specific evidence element The leaders establish the organisation’s ethical management framework.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 the ethical management framework is first approved, or its standing existence is later confirmed.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organisation with no written ethical framework has no consistent basis for handling a real conflict-of-interest or informed-consent dispute when one actually arises — this record proves a real, approved, standing framework exists, not just good intentions. This is a CORE requirement — NABH treats it as non-negotiable, not aspirational.</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