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ROM.3.f — Sustainable commuting</w:t>
      </w:r>
    </w:p>
    <w:p>
      <w:r>
        <w:rPr>
          <w:b/>
          <w:sz w:val="30"/>
        </w:rPr>
        <w:t>ROM.3 Record 17 — Sustainable commuting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 that the communication was issued to staff (not that every individual complied).” — the specific evidence element Sustainable commuting of this policy asks for. Every time this happens for real, whoever is responsible adds one new row below with: Date Issued, Communication Channel, Content Summary.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team uses this record whenever a sustainable-commuting communication or incentive is actually issued to staff. The worked example below shows a real entry: on 10-Jan-2026, communication channel was “Staff email + noticeboard”, content summary was “Encouraged carpooling, cycling and public transport; listed nearest bus routes”.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Encouraging sustainable commuting only counts if staff actually heard about it — this record proves the communication and any incentive were genuinely issued, not just discussed as an idea.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Issued: </w:t>
      </w:r>
      <w:r>
        <w:t>The date this was actually sent/posted.</w:t>
      </w:r>
    </w:p>
    <w:p>
      <w:pPr>
        <w:pStyle w:val="ListParagraph"/>
      </w:pPr>
      <w:r>
        <w:rPr>
          <w:b/>
        </w:rPr>
        <w:t xml:space="preserve">Communication Channel: </w:t>
      </w:r>
      <w:r>
        <w:t>How it was actually communicated.</w:t>
      </w:r>
    </w:p>
    <w:p>
      <w:pPr>
        <w:pStyle w:val="ListParagraph"/>
      </w:pPr>
      <w:r>
        <w:rPr>
          <w:b/>
        </w:rPr>
        <w:t xml:space="preserve">Content Summary: </w:t>
      </w:r>
      <w:r>
        <w:t>What it actually said — this proves it was issued, not that every staff member complied.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Communication Channel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Content Summary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Staff email + noticeboard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Encouraged carpooling, cycling and public transport; listed nearest bus routes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