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ROM.3.g — Financial sustainability</w:t>
      </w:r>
    </w:p>
    <w:p>
      <w:r>
        <w:rPr>
          <w:b/>
          <w:sz w:val="30"/>
        </w:rPr>
        <w:t>ROM.3 Record 19 — Financial sustainability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“Evidence that the review findings were acted on or noted.” — the specific evidence element Financial sustainability of this policy asks for. Every time this happens for real, whoever is responsible adds one new row below with: Review Date, Finding, Action Taken/Noted.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Finance Head uses this record whenever the hospital's financial-sustainability review is actually carried out and acted on. The worked example below shows a real entry: on 31-Mar-2026, finding was “Consumables cost up 8% against budget, mainly imaging contrast media” — so action taken/noted was “Renegotiated supplier rate; monitored monthly for next quarter”.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hospital that never actually reviews how it balances cost, revenue and resource allocation can drift into financial trouble without anyone noticing until it's serious — this record proves a real review happened and its findings were genuinely acted on. NABH checks this as part of how a functioning governance and leadership structure actually runs.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Review Date: </w:t>
      </w:r>
      <w:r>
        <w:t>The date this financial-sustainability review was actually done.</w:t>
      </w:r>
    </w:p>
    <w:p>
      <w:pPr>
        <w:pStyle w:val="ListParagraph"/>
      </w:pPr>
      <w:r>
        <w:rPr>
          <w:b/>
        </w:rPr>
        <w:t xml:space="preserve">Finding: </w:t>
      </w:r>
      <w:r>
        <w:t>What was actually found.</w:t>
      </w:r>
    </w:p>
    <w:p>
      <w:pPr>
        <w:pStyle w:val="ListParagraph"/>
      </w:pPr>
      <w:r>
        <w:rPr>
          <w:b/>
        </w:rPr>
        <w:t xml:space="preserve">Action Taken/Noted: </w:t>
      </w:r>
      <w:r>
        <w:t>What was actually done or noted as a result — don't leave this blank.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27"/>
        <w:gridCol w:w="3227"/>
        <w:gridCol w:w="3227"/>
      </w:tblGrid>
      <w:tr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Review Date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Finding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Action Taken/Noted</w:t>
            </w:r>
          </w:p>
        </w:tc>
      </w:tr>
      <w:tr>
        <w:tc>
          <w:tcPr>
            <w:tcW w:type="dxa" w:w="9681"/>
            <w:gridSpan w:val="3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31-Mar-2026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Consumables cost up 8% against budget, mainly imaging contrast media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Renegotiated supplier rate; monitored monthly for next quarter</w:t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