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ROM.5.d — Committee effectiveness</w:t>
      </w:r>
    </w:p>
    <w:p>
      <w:r>
        <w:rPr>
          <w:b/>
          <w:sz w:val="30"/>
        </w:rPr>
        <w:t>ROM.5 Record 9 — Committee effectiveness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“Leadership review record assessing each committee's effectiveness.” — the specific evidence element Committee effectiveness of this policy asks for. Every time this happens for real, whoever is responsible adds one new row below with: Review Date, Reviewed By, Criteria Used, Outcome,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body/leadership uses this record whenever a committee meets or its effectiveness is reviewed. The worked example below shows a real entry: on 31-Dec-2026, reviewed by was “Governing Body”, criteria used was “Achievement against FY2026 KRAs; staff and stakeholder feedback”, outcome was “Satisfactory — 3 of 4 KRAs met” — so follow-up action was “Carry forward unmet KRA to FY2027 plan”.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committee that meets regularly but is never actually checked for whether it's achieving anything can quietly become a box-ticking exercise — this record proves real minutes exist and leadership genuinely reviewed whether each committee is actually effective.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effectiveness review was actually carried out — must be at least annual.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conducted the review.</w:t>
      </w:r>
    </w:p>
    <w:p>
      <w:pPr>
        <w:pStyle w:val="ListParagraph"/>
      </w:pPr>
      <w:r>
        <w:rPr>
          <w:b/>
        </w:rPr>
        <w:t xml:space="preserve">Criteria Used: </w:t>
      </w:r>
      <w:r>
        <w:t>The specific criteria or key result areas actually used — name them, don't write 'general performance.'</w:t>
      </w:r>
    </w:p>
    <w:p>
      <w:pPr>
        <w:pStyle w:val="ListParagraph"/>
      </w:pPr>
      <w:r>
        <w:rPr>
          <w:b/>
        </w:rPr>
        <w:t xml:space="preserve">Outcome: </w:t>
      </w:r>
      <w:r>
        <w:t>What the review actually concluded.</w:t>
      </w:r>
    </w:p>
    <w:p>
      <w:pPr>
        <w:pStyle w:val="ListParagraph"/>
      </w:pPr>
      <w:r>
        <w:rPr>
          <w:b/>
        </w:rPr>
        <w:t xml:space="preserve">Follow-up Action: </w:t>
      </w:r>
      <w:r>
        <w:t>What happens next as a result of this review — a real next step, not left open-ended.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Achievement against FY2026 KRAs; staff and stakeholder feedback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Satisfactory — 3 of 4 KRAs met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Carry forward unmet KRA to FY2027 plan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