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ROM.5.f — Change management</w:t>
      </w:r>
    </w:p>
    <w:p>
      <w:r>
        <w:rPr>
          <w:b/>
          <w:sz w:val="30"/>
        </w:rPr>
        <w:t>ROM.5 Record 13 — Change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 of significant changes managed under the guidance.” — the specific evidence element Change management of this policy asks for. Every time this happens for real, whoever is responsible adds one new row below with: Date, Change Managed, Guidance Followed (Y/N),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significant organisational change is actually managed. The worked example below shows a real entry: on 10-Feb-2026, change managed was “Change of Nursing Director following retirement”, guidance followed (y/n) was “Y” — so outcome was “Handover completed per succession plan; no service disruption”.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major change made without any real guidance behind it — a change in leadership, a new department, a financial shift — risks confusion and disruption that a documented process would have prevented — this record proves real change was actually managed through the hospital's own written guidance.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significant change actually happened.</w:t>
      </w:r>
    </w:p>
    <w:p>
      <w:pPr>
        <w:pStyle w:val="ListParagraph"/>
      </w:pPr>
      <w:r>
        <w:rPr>
          <w:b/>
        </w:rPr>
        <w:t xml:space="preserve">Change Managed: </w:t>
      </w:r>
      <w:r>
        <w:t>What the actual change was — name it, don't write 'a change.'</w:t>
      </w:r>
    </w:p>
    <w:p>
      <w:pPr>
        <w:pStyle w:val="ListParagraph"/>
      </w:pPr>
      <w:r>
        <w:rPr>
          <w:b/>
        </w:rPr>
        <w:t xml:space="preserve">Guidance Followed (Y/N): </w:t>
      </w:r>
      <w:r>
        <w:t>Whether the written change-management guidance was actually followed — Y or N.</w:t>
      </w:r>
    </w:p>
    <w:p>
      <w:pPr>
        <w:pStyle w:val="ListParagraph"/>
      </w:pPr>
      <w:r>
        <w:rPr>
          <w:b/>
        </w:rPr>
        <w:t xml:space="preserve">Outcome: </w:t>
      </w:r>
      <w:r>
        <w:t>What actually resulted.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Change Managed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Guidance Followed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Change of Nursing Director following retirement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Handover completed per succession plan; no service disruption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