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ROM.6.d — Leadership ensures implementation of systems for internal and external reporting of system and process failures.</w:t>
      </w:r>
    </w:p>
    <w:p>
      <w:r>
        <w:rPr>
          <w:b/>
          <w:sz w:val="30"/>
        </w:rPr>
        <w:t>ROM.6 Record 10 — Leadership ensures implementation of systems for internal and external reporting of system and process failures.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“Reporting-system document naming what is reported, to whom internally, and to which external agency, with timelines.” — the specific evidence element Leadership ensures implementation of systems for internal and external reporting of system and process failures. of this policy asks for. Every time this happens for real, whoever is responsible adds one new row below with: Version, Date Approved, Approved By, Named Owner,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a system or process failure is actually reported, or the continuity plan is tested. The worked example below shows a real entry: on 10-Jan-2026, version was “v1.0”, approved by was “Governing Body”, named owner was “Medical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system failure that's never reported — internally or to the right external agency — can repeat itself with worse consequences the second time, and an untested continuity plan is really just an unverified assumption — this record proves real failures were really reported through a real system, and the continuity plan was actually tested. NABH checks this as part of how a functioning governance and leadership structure actually runs.</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 — not the date it was drafted.</w:t>
      </w:r>
    </w:p>
    <w:p>
      <w:pPr>
        <w:pStyle w:val="ListParagraph"/>
      </w:pPr>
      <w:r>
        <w:rPr>
          <w:b/>
        </w:rPr>
        <w:t xml:space="preserve">Approved By: </w:t>
      </w:r>
      <w:r>
        <w:t>Who approved it — the governing body, by a minuted decision, not a single manager signing alone unless the by-laws say that's sufficient.</w:t>
      </w:r>
    </w:p>
    <w:p>
      <w:pPr>
        <w:pStyle w:val="ListParagraph"/>
      </w:pPr>
      <w:r>
        <w:rPr>
          <w:b/>
        </w:rPr>
        <w:t xml:space="preserve">Named Owner: </w:t>
      </w:r>
      <w:r>
        <w:t>The single named person accountable for keeping this framework current — a person, not a department.</w:t>
      </w:r>
    </w:p>
    <w:p>
      <w:pPr>
        <w:pStyle w:val="ListParagraph"/>
      </w:pPr>
      <w:r>
        <w:rPr>
          <w:b/>
        </w:rPr>
        <w:t xml:space="preserve">Next Review Due: </w:t>
      </w:r>
      <w:r>
        <w:t>The date this framework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Named Owner</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Governing Body</w:t>
            </w:r>
          </w:p>
        </w:tc>
        <w:tc>
          <w:tcPr>
            <w:tcW w:type="dxa" w:w="1936"/>
            <w:shd w:val="clear" w:fill="FFF2CC"/>
          </w:tcPr>
          <w:p>
            <w:r/>
            <w:r>
              <w:rPr>
                <w:b w:val="0"/>
                <w:sz w:val="20"/>
              </w:rPr>
              <w:t>Medical Superintendent</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