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ROM.6.f — Leadership monitors the quality of the outsourced services and improvements are made as required.</w:t>
      </w:r>
    </w:p>
    <w:p>
      <w:r>
        <w:rPr>
          <w:b/>
          <w:sz w:val="30"/>
        </w:rPr>
        <w:t>ROM.6 Record 18 — Leadership monitors the quality of the outsourced services and improvements are made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exemption record for any service outsourced solely under prescribed statutory norms (where the Guidebook does not require monitoring).” — the specific evidence element Leadership monitors the quality of the outsourced services and improvements are made as required. of this policy asks for. Every time this happens for real, whoever is responsible adds one new row below with: Outsourced Service, Statutory Basis for Exemption, Confirmed By,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an outsourced service's quality is actually reviewed, or an exemption from monitoring is confirmed. The worked example below shows a real entry: on 10-Jan-2026, outsourced service was “Bio-medical waste disposal”, statutory basis for exemption was “Handled under a government-authorised common treatment facility per Bio-Medical Waste Management Rules, 2016 — monitoring not separately required”, confirmed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agreement that's signed and then never checked against real performance is worthless the moment the vendor starts cutting corners — this record proves the outsourced service is genuinely monitored at a real frequency, and that a real gap actually gets a real vendor improvement action. NABH checks this as part of how a functioning governance and leadership structure actually runs.</w:t>
            </w:r>
          </w:p>
        </w:tc>
      </w:tr>
    </w:tbl>
    <w:p/>
    <w:p>
      <w:r>
        <w:rPr>
          <w:b/>
          <w:sz w:val="22"/>
        </w:rPr>
        <w:t>How to fill this in — column by column</w:t>
      </w:r>
    </w:p>
    <w:p>
      <w:pPr>
        <w:pStyle w:val="ListParagraph"/>
      </w:pPr>
      <w:r>
        <w:rPr>
          <w:b/>
        </w:rPr>
        <w:t xml:space="preserve">Outsourced Service: </w:t>
      </w:r>
      <w:r>
        <w:t>The specific outsourced service exempted from routine quality monitoring.</w:t>
      </w:r>
    </w:p>
    <w:p>
      <w:pPr>
        <w:pStyle w:val="ListParagraph"/>
      </w:pPr>
      <w:r>
        <w:rPr>
          <w:b/>
        </w:rPr>
        <w:t xml:space="preserve">Statutory Basis for Exemption: </w:t>
      </w:r>
      <w:r>
        <w:t>The actual statutory basis for the exemption — name the rule/norm.</w:t>
      </w:r>
    </w:p>
    <w:p>
      <w:pPr>
        <w:pStyle w:val="ListParagraph"/>
      </w:pPr>
      <w:r>
        <w:rPr>
          <w:b/>
        </w:rPr>
        <w:t xml:space="preserve">Confirmed By: </w:t>
      </w:r>
      <w:r>
        <w:t>Who confirmed this exemption applies.</w:t>
      </w:r>
    </w:p>
    <w:p>
      <w:pPr>
        <w:pStyle w:val="ListParagraph"/>
      </w:pPr>
      <w:r>
        <w:rPr>
          <w:b/>
        </w:rPr>
        <w:t xml:space="preserve">Date: </w:t>
      </w:r>
      <w:r>
        <w:t>The date this was confirmed.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Outsourced Service</w:t>
            </w:r>
          </w:p>
        </w:tc>
        <w:tc>
          <w:tcPr>
            <w:tcW w:type="dxa" w:w="2420"/>
            <w:shd w:val="clear" w:fill="D9E2F3"/>
          </w:tcPr>
          <w:p>
            <w:r/>
            <w:r>
              <w:rPr>
                <w:b/>
                <w:sz w:val="20"/>
              </w:rPr>
              <w:t>Statutory Basis for Exemption</w:t>
            </w:r>
          </w:p>
        </w:tc>
        <w:tc>
          <w:tcPr>
            <w:tcW w:type="dxa" w:w="2420"/>
            <w:shd w:val="clear" w:fill="D9E2F3"/>
          </w:tcPr>
          <w:p>
            <w:r/>
            <w:r>
              <w:rPr>
                <w:b/>
                <w:sz w:val="20"/>
              </w:rPr>
              <w:t>Confirmed By</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Bio-medical waste disposal</w:t>
            </w:r>
          </w:p>
        </w:tc>
        <w:tc>
          <w:tcPr>
            <w:tcW w:type="dxa" w:w="2420"/>
            <w:shd w:val="clear" w:fill="FFF2CC"/>
          </w:tcPr>
          <w:p>
            <w:r/>
            <w:r>
              <w:rPr>
                <w:b w:val="0"/>
                <w:sz w:val="20"/>
              </w:rPr>
              <w:t>Handled under a government-authorised common treatment facility per Bio-Medical Waste Management Rules, 2016 — monitoring not separately required</w:t>
            </w:r>
          </w:p>
        </w:tc>
        <w:tc>
          <w:tcPr>
            <w:tcW w:type="dxa" w:w="2420"/>
            <w:shd w:val="clear" w:fill="FFF2CC"/>
          </w:tcPr>
          <w:p>
            <w:r/>
            <w:r>
              <w:rPr>
                <w:b w:val="0"/>
                <w:sz w:val="20"/>
              </w:rPr>
              <w:t>Quality Coordinator</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