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Staff Health and Safety</w:t>
      </w:r>
    </w:p>
    <w:p>
      <w:pPr>
        <w:spacing w:after="240"/>
        <w:jc w:val="center"/>
      </w:pPr>
      <w:r>
        <w:rPr>
          <w:i/>
          <w:iCs/>
          <w:sz w:val="20"/>
          <w:szCs w:val="20"/>
        </w:rPr>
        <w:t xml:space="preserve">HCO Full Accreditation, 6th Edition — HRM.9.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addresses their health and safety needs of the staff.</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HRM.9: The organisation addresses their health and safety needs of the staff.</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staff health and safety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staff health and safety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HRM.9 so that the organisation addresses their health and safety needs of the staff.</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Health problems of the staff, including occupational health hazards, are taken care of in accordance with the...</w:t>
      </w:r>
    </w:p>
    <w:p>
      <w:pPr>
        <w:spacing w:after="80"/>
      </w:pPr>
      <w:r>
        <w:rPr>
          <w:sz w:val="22"/>
          <w:szCs w:val="22"/>
        </w:rPr>
        <w:t xml:space="preserve">2. Do not skip: Health checks of staff dealing with direct patient care are done at least once a year and the findings /...</w:t>
      </w:r>
    </w:p>
    <w:p>
      <w:pPr>
        <w:spacing w:after="80"/>
      </w:pPr>
      <w:r>
        <w:rPr>
          <w:sz w:val="22"/>
          <w:szCs w:val="22"/>
        </w:rPr>
        <w:t xml:space="preserve">3. Do not skip: Organisation provides treatment to staff who sustain workplace-related injuries.</w:t>
      </w:r>
    </w:p>
    <w:p>
      <w:pPr>
        <w:spacing w:after="80"/>
      </w:pPr>
      <w:r>
        <w:rPr>
          <w:sz w:val="22"/>
          <w:szCs w:val="22"/>
        </w:rPr>
        <w:t xml:space="preserve">4. Do not skip: The organisation has measures in place for prevention and handling workplace violence.</w:t>
      </w:r>
    </w:p>
    <w:p>
      <w:pPr>
        <w:spacing w:after="80"/>
      </w:pPr>
      <w:r>
        <w:rPr>
          <w:sz w:val="22"/>
          <w:szCs w:val="22"/>
        </w:rPr>
        <w:t xml:space="preserve">5. Staff who see a HRM.9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Health problems of the staff, including occupational health hazards...</w:t>
      </w:r>
    </w:p>
    <w:p>
      <w:pPr>
        <w:spacing w:after="140"/>
      </w:pPr>
      <w:r>
        <w:rPr>
          <w:sz w:val="22"/>
          <w:szCs w:val="22"/>
        </w:rPr>
        <w:t xml:space="preserve">«Hospital Name» has written guidance on staff health and safety addressing physical and mental health and safe working conditions across all shifts, in consonance with the law of the land and good work practice. The hospital runs a staff vaccination and immunisation programme, provides appropriate personal protective equipment with training on its use, and supports staff (as "second victim") involved in unanticipated adverse events, medical error or patient-related injury. This is an asterisked element.</w:t>
      </w:r>
    </w:p>
    <w:p>
      <w:pPr>
        <w:spacing w:after="140"/>
      </w:pPr>
      <w:r>
        <w:rPr>
          <w:sz w:val="22"/>
          <w:szCs w:val="22"/>
        </w:rPr>
        <w:t xml:space="preserve">Method note (from guidebook interpretation): The organisation has a written guidance on staff health and safety programme that addresses staff physical and mental health and safe working conditions. The organisation shall make appropriate arrangements for safety of health care workers at workplace during all shifts. The organisation's policy shall be in consonance with the law of the land and good work practices. The organisation develops and implements a staff vaccination and immunization program. Appropriate personal protective equipment is provided to the staff concerned, and they are educated on how to use them. The organisation shall support the staff (second victim) involved in unanticipated adverse events, medical error or patients related injury. For the definition of "occupational health hazard" and "second victim" refer to the glossary.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Health checks of staff dealing with direct patient care are done at...</w:t>
      </w:r>
    </w:p>
    <w:p>
      <w:pPr>
        <w:spacing w:after="140"/>
      </w:pPr>
      <w:r>
        <w:rPr>
          <w:sz w:val="22"/>
          <w:szCs w:val="22"/>
        </w:rPr>
        <w:t xml:space="preserve">Health checks for staff dealing with direct patient care are done at least «once a year» at «Hospital Name», with findings and results documented in the personal file. Parameters may differ by staff category; competent individuals may be identified to perform the checks. The staff member is not charged for the check; more frequent checks may be done where needed.</w:t>
      </w:r>
    </w:p>
    <w:p>
      <w:pPr>
        <w:spacing w:after="140"/>
      </w:pPr>
      <w:r>
        <w:rPr>
          <w:sz w:val="22"/>
          <w:szCs w:val="22"/>
        </w:rPr>
        <w:t xml:space="preserve">Method note (from guidebook interpretation): The results of examination, investigations (if any) and outcome of the evaluation shall be documented in the personal file. The organisation could define the parameters, and it could be different for different categories of personnel. The organisation could also identify competent individuals to perform the same. The staff member shall not be charged for this health check. The organisation could do health checks more frequently if required.</w:t>
      </w:r>
    </w:p>
    <w:p>
      <w:pPr>
        <w:pStyle w:val="Heading2"/>
        <w:spacing w:after="100" w:before="220"/>
      </w:pPr>
      <w:r>
        <w:t xml:space="preserve">5.3 Organisation provides treatment to staff who sustain workplace-related...</w:t>
      </w:r>
    </w:p>
    <w:p>
      <w:pPr>
        <w:spacing w:after="140"/>
      </w:pPr>
      <w:r>
        <w:rPr>
          <w:sz w:val="22"/>
          <w:szCs w:val="22"/>
        </w:rPr>
        <w:t xml:space="preserve">«Hospital Name» provides treatment to staff who sustain workplace-related injuries — for example needle-stick injuries, back injuries from patient transport, or noise-related hearing impairment — including counselling where appropriate. Injuries from workplace violence are included.</w:t>
      </w:r>
    </w:p>
    <w:p>
      <w:pPr>
        <w:spacing w:after="140"/>
      </w:pPr>
      <w:r>
        <w:rPr>
          <w:sz w:val="22"/>
          <w:szCs w:val="22"/>
        </w:rPr>
        <w:t xml:space="preserve">Method note (from guidebook interpretation): Examples of workplace-related injuries are needlestick injuries, back injuries sustained during patient transport, hearing impairments due to noise levels etc. Treatment also includes counselling where appropriate. Injuries due to workplace violence are included.</w:t>
      </w:r>
    </w:p>
    <w:p>
      <w:pPr>
        <w:pStyle w:val="Heading2"/>
        <w:spacing w:after="100" w:before="220"/>
      </w:pPr>
      <w:r>
        <w:t xml:space="preserve">5.4 The organisation has measures in place for prevention and handling...</w:t>
      </w:r>
    </w:p>
    <w:p>
      <w:pPr>
        <w:spacing w:after="140"/>
      </w:pPr>
      <w:r>
        <w:rPr>
          <w:sz w:val="22"/>
          <w:szCs w:val="22"/>
        </w:rPr>
        <w:t xml:space="preserve">«Hospital Name» has measures in place for prevention and handling of workplace violence, using an integrative and participative approach: workplace risk assessment identifying situations of special risk, workplace interventions (information and communication), environmental interventions (signage, security, restricted access) and individual interventions (training). A mechanism handles these situations, including liaison with law enforcement where applicable and counselling for affected staff, as part of the hospital's written security guidance. This is a CORE, asterisked element.</w:t>
      </w:r>
    </w:p>
    <w:p>
      <w:pPr>
        <w:spacing w:after="140"/>
      </w:pPr>
      <w:r>
        <w:rPr>
          <w:sz w:val="22"/>
          <w:szCs w:val="22"/>
        </w:rPr>
        <w:t xml:space="preserve">Cross-reference: FMS.3.a owns the extra-security-area operational planning this measure sits alongside; this element is the workplace-violence prevention-and-handling programme itself.</w:t>
      </w:r>
    </w:p>
    <w:p>
      <w:pPr>
        <w:spacing w:after="140"/>
      </w:pPr>
      <w:r>
        <w:rPr>
          <w:sz w:val="22"/>
          <w:szCs w:val="22"/>
        </w:rPr>
        <w:t xml:space="preserve">Method note (from guidebook interpretation): An integrative and participative approach is used to address this. Key aspects include workplace risk assessment, including identifying situations of special risk, workplace interventions including information and communication, environmental interventions including signage, security and restricted access and individual interventions like training. The organisation shall have a mechanism in place to handle these situations, including liaison with law enforcement agencies where applicable and provision of counselling to affected staff. The above should be part of written guidance on security. Refer FMS.3.a. Refer to the glossary for a definition of "workplace violence".</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HRM.9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Health and Safety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HRM.9.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HRM.9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HRM.9.</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HRM.9</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Health problems of the staff, including occupational health hazards, are taken care of in accordance with the organisation’s policy.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Health checks of staff dealing with direct patient care are done at least once a year and the findings / results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provides treatment to staff who sustain workplace-related injuries.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measures in place for prevention and handling workplace violence.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HRM.9.a — Health problems of the staff, including occupational health hazards, are taken care of in accordance with the organisation’s policy.</w:t>
      </w:r>
    </w:p>
    <w:p>
      <w:pPr>
        <w:pStyle w:val="ListParagraph"/>
        <w:numPr>
          <w:ilvl w:val="0"/>
          <w:numId w:val="1"/>
        </w:numPr>
        <w:spacing w:after="60"/>
      </w:pPr>
      <w:r>
        <w:rPr>
          <w:sz w:val="22"/>
          <w:szCs w:val="22"/>
        </w:rPr>
        <w:t xml:space="preserve">Written staff health and safety policy covering physical and mental health.</w:t>
      </w:r>
    </w:p>
    <w:p>
      <w:pPr>
        <w:pStyle w:val="ListParagraph"/>
        <w:numPr>
          <w:ilvl w:val="0"/>
          <w:numId w:val="1"/>
        </w:numPr>
        <w:spacing w:after="60"/>
      </w:pPr>
      <w:r>
        <w:rPr>
          <w:sz w:val="22"/>
          <w:szCs w:val="22"/>
        </w:rPr>
        <w:t xml:space="preserve">Staff vaccination and immunisation programme record.</w:t>
      </w:r>
    </w:p>
    <w:p>
      <w:pPr>
        <w:pStyle w:val="ListParagraph"/>
        <w:numPr>
          <w:ilvl w:val="0"/>
          <w:numId w:val="1"/>
        </w:numPr>
        <w:spacing w:after="60"/>
      </w:pPr>
      <w:r>
        <w:rPr>
          <w:sz w:val="22"/>
          <w:szCs w:val="22"/>
        </w:rPr>
        <w:t xml:space="preserve">PPE-provision and second-victim-support record.</w:t>
      </w:r>
    </w:p>
    <w:p>
      <w:pPr>
        <w:pStyle w:val="Heading2"/>
        <w:spacing w:after="100" w:before="220"/>
      </w:pPr>
      <w:r>
        <w:t xml:space="preserve">HRM.9.b — Health checks of staff dealing with direct patient care are done at least once a year and the findings / results are documented.</w:t>
      </w:r>
    </w:p>
    <w:p>
      <w:pPr>
        <w:pStyle w:val="ListParagraph"/>
        <w:numPr>
          <w:ilvl w:val="0"/>
          <w:numId w:val="1"/>
        </w:numPr>
        <w:spacing w:after="60"/>
      </w:pPr>
      <w:r>
        <w:rPr>
          <w:sz w:val="22"/>
          <w:szCs w:val="22"/>
        </w:rPr>
        <w:t xml:space="preserve">Annual health-check record for direct-patient-care staff.</w:t>
      </w:r>
    </w:p>
    <w:p>
      <w:pPr>
        <w:pStyle w:val="ListParagraph"/>
        <w:numPr>
          <w:ilvl w:val="0"/>
          <w:numId w:val="1"/>
        </w:numPr>
        <w:spacing w:after="60"/>
      </w:pPr>
      <w:r>
        <w:rPr>
          <w:sz w:val="22"/>
          <w:szCs w:val="22"/>
        </w:rPr>
        <w:t xml:space="preserve">Findings and results documentation in the personal file.</w:t>
      </w:r>
    </w:p>
    <w:p>
      <w:pPr>
        <w:pStyle w:val="ListParagraph"/>
        <w:numPr>
          <w:ilvl w:val="0"/>
          <w:numId w:val="1"/>
        </w:numPr>
        <w:spacing w:after="60"/>
      </w:pPr>
      <w:r>
        <w:rPr>
          <w:sz w:val="22"/>
          <w:szCs w:val="22"/>
        </w:rPr>
        <w:t xml:space="preserve">No-charge-to-staff confirmation record.</w:t>
      </w:r>
    </w:p>
    <w:p>
      <w:pPr>
        <w:pStyle w:val="Heading2"/>
        <w:spacing w:after="100" w:before="220"/>
      </w:pPr>
      <w:r>
        <w:t xml:space="preserve">HRM.9.c — Organisation provides treatment to staff who sustain workplace-related injuries.</w:t>
      </w:r>
    </w:p>
    <w:p>
      <w:pPr>
        <w:pStyle w:val="ListParagraph"/>
        <w:numPr>
          <w:ilvl w:val="0"/>
          <w:numId w:val="1"/>
        </w:numPr>
        <w:spacing w:after="60"/>
      </w:pPr>
      <w:r>
        <w:rPr>
          <w:sz w:val="22"/>
          <w:szCs w:val="22"/>
        </w:rPr>
        <w:t xml:space="preserve">Workplace-injury treatment record — needlestick, patient-transport injury, noise-related, etc.</w:t>
      </w:r>
    </w:p>
    <w:p>
      <w:pPr>
        <w:pStyle w:val="ListParagraph"/>
        <w:numPr>
          <w:ilvl w:val="0"/>
          <w:numId w:val="1"/>
        </w:numPr>
        <w:spacing w:after="60"/>
      </w:pPr>
      <w:r>
        <w:rPr>
          <w:sz w:val="22"/>
          <w:szCs w:val="22"/>
        </w:rPr>
        <w:t xml:space="preserve">Counselling record where appropriate.</w:t>
      </w:r>
    </w:p>
    <w:p>
      <w:pPr>
        <w:pStyle w:val="ListParagraph"/>
        <w:numPr>
          <w:ilvl w:val="0"/>
          <w:numId w:val="1"/>
        </w:numPr>
        <w:spacing w:after="60"/>
      </w:pPr>
      <w:r>
        <w:rPr>
          <w:sz w:val="22"/>
          <w:szCs w:val="22"/>
        </w:rPr>
        <w:t xml:space="preserve">Workplace-violence-injury inclusion record.</w:t>
      </w:r>
    </w:p>
    <w:p>
      <w:pPr>
        <w:pStyle w:val="Heading2"/>
        <w:spacing w:after="100" w:before="220"/>
      </w:pPr>
      <w:r>
        <w:t xml:space="preserve">HRM.9.d — The organisation has measures in place for prevention and handling workplace violence.</w:t>
      </w:r>
    </w:p>
    <w:p>
      <w:pPr>
        <w:pStyle w:val="ListParagraph"/>
        <w:numPr>
          <w:ilvl w:val="0"/>
          <w:numId w:val="1"/>
        </w:numPr>
        <w:spacing w:after="60"/>
      </w:pPr>
      <w:r>
        <w:rPr>
          <w:sz w:val="22"/>
          <w:szCs w:val="22"/>
        </w:rPr>
        <w:t xml:space="preserve">Workplace-violence risk-assessment record.</w:t>
      </w:r>
    </w:p>
    <w:p>
      <w:pPr>
        <w:pStyle w:val="ListParagraph"/>
        <w:numPr>
          <w:ilvl w:val="0"/>
          <w:numId w:val="1"/>
        </w:numPr>
        <w:spacing w:after="60"/>
      </w:pPr>
      <w:r>
        <w:rPr>
          <w:sz w:val="22"/>
          <w:szCs w:val="22"/>
        </w:rPr>
        <w:t xml:space="preserve">Written security guidance covering workplace-violence prevention and handling.</w:t>
      </w:r>
    </w:p>
    <w:p>
      <w:pPr>
        <w:pStyle w:val="ListParagraph"/>
        <w:numPr>
          <w:ilvl w:val="0"/>
          <w:numId w:val="1"/>
        </w:numPr>
        <w:spacing w:after="60"/>
      </w:pPr>
      <w:r>
        <w:rPr>
          <w:sz w:val="22"/>
          <w:szCs w:val="22"/>
        </w:rPr>
        <w:t xml:space="preserve">Law-enforcement-liaison and counselling record for affected staff.</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«HCO/HRM/POL/09»  |  Controlled document  |  Staff Health and Safety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2026-08-21T14:58:29.552Z</dcterms:created>
  <dcterms:modified xsi:type="dcterms:W3CDTF">2026-08-21T14:58:29.554Z</dcterms:modified>
</cp:coreProperties>
</file>

<file path=docProps/custom.xml><?xml version="1.0" encoding="utf-8"?>
<Properties xmlns="http://schemas.openxmlformats.org/officeDocument/2006/custom-properties" xmlns:vt="http://schemas.openxmlformats.org/officeDocument/2006/docPropsVTypes"/>
</file>