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Job-Specific Staff Training</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HCO/HRM/POL/05</w:t>
            </w:r>
          </w:p>
        </w:tc>
        <w:tc>
          <w:tcPr>
            <w:tcW w:type="dxa" w:w="2160"/>
          </w:tcPr>
          <w:p>
            <w:r>
              <w:t>Version</w:t>
            </w:r>
          </w:p>
        </w:tc>
        <w:tc>
          <w:tcPr>
            <w:tcW w:type="dxa" w:w="2160"/>
          </w:tcPr>
          <w:p>
            <w:r>
              <w:t>1.0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HR In-Charge / Personnel Officer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«Hospital Name» trains staff on the specific skills their job requires — blood handling, vulnerable-patient care, restraint, communication, resuscitation and infection control — not just general induction.</w:t>
      </w:r>
    </w:p>
    <w:p>
      <w:pPr>
        <w:pStyle w:val="Heading1"/>
      </w:pPr>
      <w:r>
        <w:t>1. Purpose</w:t>
      </w:r>
    </w:p>
    <w:p>
      <w:pPr/>
      <w:r>
        <w:t>This policy explains the job-specific training «Hospital Name» provides beyond induction, based on what a staff member's role actually requires.</w:t>
      </w:r>
    </w:p>
    <w:p>
      <w:pPr/>
      <w:r>
        <w:t>This policy does not cover the clinical procedures themselves for blood transfusion, vulnerable-patient care, control and restraint, or patient communication — those are covered in other hospital policies. This policy is the staff training layer for those procedures.</w:t>
      </w:r>
    </w:p>
    <w:p>
      <w:pPr>
        <w:pStyle w:val="Heading1"/>
      </w:pPr>
      <w:r>
        <w:t>2. Scope</w:t>
      </w:r>
    </w:p>
    <w:p>
      <w:pPr/>
      <w:r>
        <w:t>This policy applies to the HR In-Charge / Personnel Officer, department heads, and every staff member whose role requires blood-handling, vulnerable-patient care, restraint, communication, CPR, or infection-control skills.</w:t>
      </w:r>
    </w:p>
    <w:p>
      <w:pPr>
        <w:pStyle w:val="Heading1"/>
      </w:pPr>
      <w:r>
        <w:t>3. Policy standards</w:t>
      </w:r>
    </w:p>
    <w:p>
      <w:pPr/>
      <w:r>
        <w:t>«Hospital Name» trains relevant staff in blood and blood product handling, vulnerable-patient care, control and restraint techniques, healthcare communication, periodic CPR for direct-patient-care staff, and infection prevention and control.</w:t>
      </w:r>
    </w:p>
    <w:p>
      <w:pPr>
        <w:pStyle w:val="Heading1"/>
      </w:pPr>
      <w:r>
        <w:t>4. Non-negotiable rules</w:t>
      </w:r>
    </w:p>
    <w:p>
      <w:pPr>
        <w:pStyle w:val="ListNumber"/>
      </w:pPr>
      <w:r>
        <w:t>Do not let staff handling blood or blood products work without training in safe transport, consent, documentation and transfusion-reaction handling.</w:t>
      </w:r>
    </w:p>
    <w:p>
      <w:pPr>
        <w:pStyle w:val="ListNumber"/>
      </w:pPr>
      <w:r>
        <w:t>Do not let staff caring for vulnerable patients work without training in identifying and caring for them.</w:t>
      </w:r>
    </w:p>
    <w:p>
      <w:pPr>
        <w:pStyle w:val="ListNumber"/>
      </w:pPr>
      <w:r>
        <w:t>Do not let staff use control and restraint techniques without training in their appropriate use.</w:t>
      </w:r>
    </w:p>
    <w:p>
      <w:pPr>
        <w:pStyle w:val="ListNumber"/>
      </w:pPr>
      <w:r>
        <w:t>Do not let CPR training lapse beyond two years for direct-patient-care staff, or beyond the interval required after a protocol change.</w:t>
      </w:r>
    </w:p>
    <w:p>
      <w:pPr>
        <w:pStyle w:val="ListNumber"/>
      </w:pPr>
      <w:r>
        <w:t>Do not let infection-prevention-and-control training lapse beyond a year for any staff member.</w:t>
      </w:r>
    </w:p>
    <w:p>
      <w:pPr>
        <w:pStyle w:val="ListNumber"/>
      </w:pPr>
      <w:r>
        <w:t>Staff who see any of these rules broken report it the same shift to the HR In-Charge / Personnel Officer or the Medical Superintendent.</w:t>
      </w:r>
    </w:p>
    <w:p>
      <w:pPr>
        <w:pStyle w:val="Heading1"/>
      </w:pPr>
      <w:r>
        <w:t>5. What we do</w:t>
      </w:r>
    </w:p>
    <w:p>
      <w:pPr>
        <w:pStyle w:val="Heading2"/>
      </w:pPr>
      <w:r>
        <w:t>5.1 Train staff on blood and blood product handling</w:t>
      </w:r>
    </w:p>
    <w:p>
      <w:pPr/>
      <w:r>
        <w:t>Staff involved in blood transfusion services — doctors, nurses, technicians and staff transporting blood from the blood bank or storage unit — are trained in handling blood and blood products: safe transport, obtaining informed consent, required documentation, identifying and handling transfusion reactions, and educating the patient and family on donation. Blood transfusion service practice itself is covered in other hospital policies; this element is the staff training layer.</w:t>
      </w:r>
    </w:p>
    <w:p>
      <w:pPr>
        <w:pStyle w:val="Heading2"/>
      </w:pPr>
      <w:r>
        <w:t>5.2 Train staff on vulnerable-patient care</w:t>
      </w:r>
    </w:p>
    <w:p>
      <w:pPr/>
      <w:r>
        <w:t>Relevant staff are trained in identifying and rendering care to vulnerable patients, per the hospital's written guidance. The vulnerable-patient care process itself is covered in other hospital policies; this element is the staff training layer.</w:t>
      </w:r>
    </w:p>
    <w:p>
      <w:pPr>
        <w:pStyle w:val="Heading2"/>
      </w:pPr>
      <w:r>
        <w:t>5.3 Train staff on control and restraint</w:t>
      </w:r>
    </w:p>
    <w:p>
      <w:pPr/>
      <w:r>
        <w:t>Relevant staff are trained in the appropriate use of control and restraint techniques, per the hospital's written guidance. The control-and-restraint process itself is covered in other hospital policies; this element is the staff training layer.</w:t>
      </w:r>
    </w:p>
    <w:p>
      <w:pPr>
        <w:pStyle w:val="Heading2"/>
      </w:pPr>
      <w:r>
        <w:t>5.4 Train staff on healthcare communication</w:t>
      </w:r>
    </w:p>
    <w:p>
      <w:pPr/>
      <w:r>
        <w:t>Staff are trained in healthcare communication techniques, including handling challenging situations and good communication practice. Training needs may be identified from patient complaints, incident reports, appraisals and employee feedback. Patient-facing communication practice itself is covered in other hospital policies; this element is the staff training layer.</w:t>
      </w:r>
    </w:p>
    <w:p>
      <w:pPr>
        <w:pStyle w:val="Heading2"/>
      </w:pPr>
      <w:r>
        <w:t>5.5 Train staff on CPR periodically</w:t>
      </w:r>
    </w:p>
    <w:p>
      <w:pPr/>
      <w:r>
        <w:t>Staff involved in direct patient care are trained on cardio-pulmonary resuscitation periodically, at the level appropriate to their role. Doctors, nurses and rehabilitation staff refresh at least once in two years, or sooner if protocol changes; staff in emergency, intensive care or high-dependency units undergo appropriate advanced training (for example ACLS, ATLS, PALS or NRP, or an equivalent).</w:t>
      </w:r>
    </w:p>
    <w:p>
      <w:pPr>
        <w:pStyle w:val="Heading2"/>
      </w:pPr>
      <w:r>
        <w:t>5.6 Train staff on infection prevention and control</w:t>
      </w:r>
    </w:p>
    <w:p>
      <w:pPr/>
      <w:r>
        <w:t>«Hospital Name» provides staff training on infection prevention and control through in-service sessions at least once a year, including antimicrobial policy and antimicrobial stewardship content for medical professionals, infection-prevention-and-control nurses, the clinical pharmacist and support staff.</w:t>
      </w:r>
    </w:p>
    <w:p>
      <w:pPr>
        <w:pStyle w:val="Heading1"/>
      </w:pPr>
      <w:r>
        <w:t>6.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HR In-Charge / Personnel Officer</w:t>
            </w:r>
          </w:p>
        </w:tc>
        <w:tc>
          <w:tcPr>
            <w:tcW w:type="dxa" w:w="4320"/>
          </w:tcPr>
          <w:p>
            <w:r>
              <w:t>Owns training records for all job-specific training under this policy.</w:t>
            </w:r>
          </w:p>
        </w:tc>
      </w:tr>
      <w:tr>
        <w:tc>
          <w:tcPr>
            <w:tcW w:type="dxa" w:w="4320"/>
          </w:tcPr>
          <w:p>
            <w:r>
              <w:t>Department heads</w:t>
            </w:r>
          </w:p>
        </w:tc>
        <w:tc>
          <w:tcPr>
            <w:tcW w:type="dxa" w:w="4320"/>
          </w:tcPr>
          <w:p>
            <w:r>
              <w:t>Identify which staff in their department are "relevant staff" for each training requirement.</w:t>
            </w:r>
          </w:p>
        </w:tc>
      </w:tr>
      <w:tr>
        <w:tc>
          <w:tcPr>
            <w:tcW w:type="dxa" w:w="4320"/>
          </w:tcPr>
          <w:p>
            <w:r>
              <w:t>Medical Superintendent</w:t>
            </w:r>
          </w:p>
        </w:tc>
        <w:tc>
          <w:tcPr>
            <w:tcW w:type="dxa" w:w="4320"/>
          </w:tcPr>
          <w:p>
            <w:r>
              <w:t>Accountable that this policy is followed.</w:t>
            </w:r>
          </w:p>
        </w:tc>
      </w:tr>
    </w:tbl>
    <w:p>
      <w:pPr>
        <w:pStyle w:val="Heading1"/>
      </w:pPr>
      <w:r>
        <w:t>7. Quality monitoring</w:t>
      </w:r>
    </w:p>
    <w:p>
      <w:pPr/>
      <w:r>
        <w:t>The HR In-Charge / Personnel Officer reviews a sample of training records periodically against the steps in Section 5, confirming CPR refreshers are current and infection-control training has not lapsed beyond a year. This policy itself is reviewed every year.</w:t>
      </w:r>
    </w:p>
    <w:p>
      <w:pPr>
        <w:pStyle w:val="Heading1"/>
      </w:pPr>
      <w:r>
        <w:t>8. Training and staff acknowledgement</w:t>
      </w:r>
    </w:p>
    <w:p>
      <w:pPr/>
      <w:r>
        <w:t>Staff covered by this policy are trained on it when they take up the role, and again every year after that.</w:t>
      </w:r>
    </w:p>
    <w:p>
      <w:pPr/>
      <w:r>
        <w:t>I have read the Policy on Job-Specific Staff Training of «Hospital Name». I will follow the processes described.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9. Distribution</w:t>
      </w:r>
    </w:p>
    <w:p>
      <w:pPr/>
      <w:r>
        <w:t>HR In-Charge / Personnel Officer; department heads; Medical Superintendent.</w:t>
      </w:r>
    </w:p>
    <w:p>
      <w:pPr>
        <w:pStyle w:val="Heading1"/>
      </w:pPr>
      <w:r>
        <w:t>10.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ACLS</w:t>
            </w:r>
          </w:p>
        </w:tc>
        <w:tc>
          <w:tcPr>
            <w:tcW w:type="dxa" w:w="4320"/>
          </w:tcPr>
          <w:p>
            <w:r>
              <w:t>Advanced Cardiac Life Support</w:t>
            </w:r>
          </w:p>
        </w:tc>
      </w:tr>
      <w:tr>
        <w:tc>
          <w:tcPr>
            <w:tcW w:type="dxa" w:w="4320"/>
          </w:tcPr>
          <w:p>
            <w:r>
              <w:t>ATLS</w:t>
            </w:r>
          </w:p>
        </w:tc>
        <w:tc>
          <w:tcPr>
            <w:tcW w:type="dxa" w:w="4320"/>
          </w:tcPr>
          <w:p>
            <w:r>
              <w:t>Advanced Trauma Life Support</w:t>
            </w:r>
          </w:p>
        </w:tc>
      </w:tr>
      <w:tr>
        <w:tc>
          <w:tcPr>
            <w:tcW w:type="dxa" w:w="4320"/>
          </w:tcPr>
          <w:p>
            <w:r>
              <w:t>CPR</w:t>
            </w:r>
          </w:p>
        </w:tc>
        <w:tc>
          <w:tcPr>
            <w:tcW w:type="dxa" w:w="4320"/>
          </w:tcPr>
          <w:p>
            <w:r>
              <w:t>Cardio-Pulmonary Resuscitation</w:t>
            </w:r>
          </w:p>
        </w:tc>
      </w:tr>
      <w:tr>
        <w:tc>
          <w:tcPr>
            <w:tcW w:type="dxa" w:w="4320"/>
          </w:tcPr>
          <w:p>
            <w:r>
              <w:t>HCO</w:t>
            </w:r>
          </w:p>
        </w:tc>
        <w:tc>
          <w:tcPr>
            <w:tcW w:type="dxa" w:w="4320"/>
          </w:tcPr>
          <w:p>
            <w:r>
              <w:t>Hospital (Full Accreditation programme under NABH Hospitals 6th Edition)</w:t>
            </w:r>
          </w:p>
        </w:tc>
      </w:tr>
      <w:tr>
        <w:tc>
          <w:tcPr>
            <w:tcW w:type="dxa" w:w="4320"/>
          </w:tcPr>
          <w:p>
            <w:r>
              <w:t>HR</w:t>
            </w:r>
          </w:p>
        </w:tc>
        <w:tc>
          <w:tcPr>
            <w:tcW w:type="dxa" w:w="4320"/>
          </w:tcPr>
          <w:p>
            <w:r>
              <w:t>Human Resources</w:t>
            </w:r>
          </w:p>
        </w:tc>
      </w:tr>
      <w:tr>
        <w:tc>
          <w:tcPr>
            <w:tcW w:type="dxa" w:w="4320"/>
          </w:tcPr>
          <w:p>
            <w:r>
              <w:t>HRM</w:t>
            </w:r>
          </w:p>
        </w:tc>
        <w:tc>
          <w:tcPr>
            <w:tcW w:type="dxa" w:w="4320"/>
          </w:tcPr>
          <w:p>
            <w:r>
              <w:t>Human Resource Management (NABH Hospitals 6th Edition chapter)</w:t>
            </w:r>
          </w:p>
        </w:tc>
      </w:tr>
      <w:tr>
        <w:tc>
          <w:tcPr>
            <w:tcW w:type="dxa" w:w="4320"/>
          </w:tcPr>
          <w:p>
            <w:r>
              <w:t>NABH</w:t>
            </w:r>
          </w:p>
        </w:tc>
        <w:tc>
          <w:tcPr>
            <w:tcW w:type="dxa" w:w="4320"/>
          </w:tcPr>
          <w:p>
            <w:r>
              <w:t>National Accreditation Board for Hospitals and Healthcare Providers</w:t>
            </w:r>
          </w:p>
        </w:tc>
      </w:tr>
      <w:tr>
        <w:tc>
          <w:tcPr>
            <w:tcW w:type="dxa" w:w="4320"/>
          </w:tcPr>
          <w:p>
            <w:r>
              <w:t>OE</w:t>
            </w:r>
          </w:p>
        </w:tc>
        <w:tc>
          <w:tcPr>
            <w:tcW w:type="dxa" w:w="4320"/>
          </w:tcPr>
          <w:p>
            <w:r>
              <w:t>Objective Element</w:t>
            </w:r>
          </w:p>
        </w:tc>
      </w:tr>
      <w:tr>
        <w:tc>
          <w:tcPr>
            <w:tcW w:type="dxa" w:w="4320"/>
          </w:tcPr>
          <w:p>
            <w:r>
              <w:t>NRP</w:t>
            </w:r>
          </w:p>
        </w:tc>
        <w:tc>
          <w:tcPr>
            <w:tcW w:type="dxa" w:w="4320"/>
          </w:tcPr>
          <w:p>
            <w:r>
              <w:t>Neonatal Resuscitation Program</w:t>
            </w:r>
          </w:p>
        </w:tc>
      </w:tr>
      <w:tr>
        <w:tc>
          <w:tcPr>
            <w:tcW w:type="dxa" w:w="4320"/>
          </w:tcPr>
          <w:p>
            <w:r>
              <w:t>PALS</w:t>
            </w:r>
          </w:p>
        </w:tc>
        <w:tc>
          <w:tcPr>
            <w:tcW w:type="dxa" w:w="4320"/>
          </w:tcPr>
          <w:p>
            <w:r>
              <w:t>Paediatric Advanced Life Support</w:t>
            </w:r>
          </w:p>
        </w:tc>
      </w:tr>
    </w:tbl>
    <w:p>
      <w:pPr>
        <w:pStyle w:val="Heading1"/>
      </w:pPr>
      <w:r>
        <w:t>11. Traceability to NABH HCO Full Accreditation 6th Edition HRM.5</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OE</w:t>
            </w:r>
          </w:p>
        </w:tc>
        <w:tc>
          <w:tcPr>
            <w:tcW w:type="dxa" w:w="2160"/>
          </w:tcPr>
          <w:p>
            <w:r>
              <w:t>Level</w:t>
            </w:r>
          </w:p>
        </w:tc>
        <w:tc>
          <w:tcPr>
            <w:tcW w:type="dxa" w:w="2160"/>
          </w:tcPr>
          <w:p>
            <w:r>
              <w:t>Where addressed</w:t>
            </w:r>
          </w:p>
        </w:tc>
        <w:tc>
          <w:tcPr>
            <w:tcW w:type="dxa" w:w="2160"/>
          </w:tcPr>
          <w:p>
            <w:r>
              <w:t>Responsible</w:t>
            </w:r>
          </w:p>
        </w:tc>
      </w:tr>
      <w:tr>
        <w:tc>
          <w:tcPr>
            <w:tcW w:type="dxa" w:w="2160"/>
          </w:tcPr>
          <w:p>
            <w:r>
              <w:t>HRM.5.a</w:t>
            </w:r>
          </w:p>
        </w:tc>
        <w:tc>
          <w:tcPr>
            <w:tcW w:type="dxa" w:w="2160"/>
          </w:tcPr>
          <w:p>
            <w:r>
              <w:t>Commitment</w:t>
            </w:r>
          </w:p>
        </w:tc>
        <w:tc>
          <w:tcPr>
            <w:tcW w:type="dxa" w:w="2160"/>
          </w:tcPr>
          <w:p>
            <w:r>
              <w:t>Section 3; 5.1</w:t>
            </w:r>
          </w:p>
        </w:tc>
        <w:tc>
          <w:tcPr>
            <w:tcW w:type="dxa" w:w="2160"/>
          </w:tcPr>
          <w:p>
            <w:r>
              <w:t>HR In-Charge / Personnel Officer</w:t>
            </w:r>
          </w:p>
        </w:tc>
      </w:tr>
      <w:tr>
        <w:tc>
          <w:tcPr>
            <w:tcW w:type="dxa" w:w="2160"/>
          </w:tcPr>
          <w:p>
            <w:r>
              <w:t>HRM.5.b</w:t>
            </w:r>
          </w:p>
        </w:tc>
        <w:tc>
          <w:tcPr>
            <w:tcW w:type="dxa" w:w="2160"/>
          </w:tcPr>
          <w:p>
            <w:r>
              <w:t>Commitment</w:t>
            </w:r>
          </w:p>
        </w:tc>
        <w:tc>
          <w:tcPr>
            <w:tcW w:type="dxa" w:w="2160"/>
          </w:tcPr>
          <w:p>
            <w:r>
              <w:t>Section 3; 5.2</w:t>
            </w:r>
          </w:p>
        </w:tc>
        <w:tc>
          <w:tcPr>
            <w:tcW w:type="dxa" w:w="2160"/>
          </w:tcPr>
          <w:p>
            <w:r>
              <w:t>HR In-Charge / Personnel Officer</w:t>
            </w:r>
          </w:p>
        </w:tc>
      </w:tr>
      <w:tr>
        <w:tc>
          <w:tcPr>
            <w:tcW w:type="dxa" w:w="2160"/>
          </w:tcPr>
          <w:p>
            <w:r>
              <w:t>HRM.5.c</w:t>
            </w:r>
          </w:p>
        </w:tc>
        <w:tc>
          <w:tcPr>
            <w:tcW w:type="dxa" w:w="2160"/>
          </w:tcPr>
          <w:p>
            <w:r>
              <w:t>Commitment</w:t>
            </w:r>
          </w:p>
        </w:tc>
        <w:tc>
          <w:tcPr>
            <w:tcW w:type="dxa" w:w="2160"/>
          </w:tcPr>
          <w:p>
            <w:r>
              <w:t>Section 3; 5.3</w:t>
            </w:r>
          </w:p>
        </w:tc>
        <w:tc>
          <w:tcPr>
            <w:tcW w:type="dxa" w:w="2160"/>
          </w:tcPr>
          <w:p>
            <w:r>
              <w:t>HR In-Charge / Personnel Officer</w:t>
            </w:r>
          </w:p>
        </w:tc>
      </w:tr>
      <w:tr>
        <w:tc>
          <w:tcPr>
            <w:tcW w:type="dxa" w:w="2160"/>
          </w:tcPr>
          <w:p>
            <w:r>
              <w:t>HRM.5.d</w:t>
            </w:r>
          </w:p>
        </w:tc>
        <w:tc>
          <w:tcPr>
            <w:tcW w:type="dxa" w:w="2160"/>
          </w:tcPr>
          <w:p>
            <w:r>
              <w:t>Commitment</w:t>
            </w:r>
          </w:p>
        </w:tc>
        <w:tc>
          <w:tcPr>
            <w:tcW w:type="dxa" w:w="2160"/>
          </w:tcPr>
          <w:p>
            <w:r>
              <w:t>Section 3; 5.4</w:t>
            </w:r>
          </w:p>
        </w:tc>
        <w:tc>
          <w:tcPr>
            <w:tcW w:type="dxa" w:w="2160"/>
          </w:tcPr>
          <w:p>
            <w:r>
              <w:t>HR In-Charge / Personnel Officer</w:t>
            </w:r>
          </w:p>
        </w:tc>
      </w:tr>
      <w:tr>
        <w:tc>
          <w:tcPr>
            <w:tcW w:type="dxa" w:w="2160"/>
          </w:tcPr>
          <w:p>
            <w:r>
              <w:t>HRM.5.e</w:t>
            </w:r>
          </w:p>
        </w:tc>
        <w:tc>
          <w:tcPr>
            <w:tcW w:type="dxa" w:w="2160"/>
          </w:tcPr>
          <w:p>
            <w:r>
              <w:t>CORE</w:t>
            </w:r>
          </w:p>
        </w:tc>
        <w:tc>
          <w:tcPr>
            <w:tcW w:type="dxa" w:w="2160"/>
          </w:tcPr>
          <w:p>
            <w:r>
              <w:t>Section 3; 5.5</w:t>
            </w:r>
          </w:p>
        </w:tc>
        <w:tc>
          <w:tcPr>
            <w:tcW w:type="dxa" w:w="2160"/>
          </w:tcPr>
          <w:p>
            <w:r>
              <w:t>HR In-Charge / Personnel Officer</w:t>
            </w:r>
          </w:p>
        </w:tc>
      </w:tr>
      <w:tr>
        <w:tc>
          <w:tcPr>
            <w:tcW w:type="dxa" w:w="2160"/>
          </w:tcPr>
          <w:p>
            <w:r>
              <w:t>HRM.5.f</w:t>
            </w:r>
          </w:p>
        </w:tc>
        <w:tc>
          <w:tcPr>
            <w:tcW w:type="dxa" w:w="2160"/>
          </w:tcPr>
          <w:p>
            <w:r>
              <w:t>Commitment</w:t>
            </w:r>
          </w:p>
        </w:tc>
        <w:tc>
          <w:tcPr>
            <w:tcW w:type="dxa" w:w="2160"/>
          </w:tcPr>
          <w:p>
            <w:r>
              <w:t>Section 3; 5.6</w:t>
            </w:r>
          </w:p>
        </w:tc>
        <w:tc>
          <w:tcPr>
            <w:tcW w:type="dxa" w:w="2160"/>
          </w:tcPr>
          <w:p>
            <w:r>
              <w:t>HR In-Charge / Personnel Officer</w:t>
            </w:r>
          </w:p>
        </w:tc>
      </w:tr>
    </w:tbl>
    <w:p>
      <w:pPr>
        <w:pStyle w:val="Heading1"/>
      </w:pPr>
      <w:r>
        <w:t>12. Required Records / Evidence Checklist</w:t>
      </w:r>
    </w:p>
    <w:p>
      <w:pPr>
        <w:pStyle w:val="Heading2"/>
      </w:pPr>
      <w:r>
        <w:t>HRM.5.a — Blood and blood product handling training.</w:t>
      </w:r>
    </w:p>
    <w:p>
      <w:pPr>
        <w:pStyle w:val="ListBullet"/>
      </w:pPr>
      <w:r>
        <w:t>Blood-and-blood-product handling training record for relevant staff (doctors, nurses, technicians, transport staff).</w:t>
      </w:r>
    </w:p>
    <w:p>
      <w:pPr>
        <w:pStyle w:val="ListBullet"/>
      </w:pPr>
      <w:r>
        <w:t>Training-content record — safe transport, informed consent, documentation, transfusion-reaction handling.</w:t>
      </w:r>
    </w:p>
    <w:p>
      <w:pPr>
        <w:pStyle w:val="Heading2"/>
      </w:pPr>
      <w:r>
        <w:t>HRM.5.b — Vulnerable-patient training.</w:t>
      </w:r>
    </w:p>
    <w:p>
      <w:pPr>
        <w:pStyle w:val="ListBullet"/>
      </w:pPr>
      <w:r>
        <w:t>Vulnerable-patient identification-and-care training record.</w:t>
      </w:r>
    </w:p>
    <w:p>
      <w:pPr>
        <w:pStyle w:val="ListBullet"/>
      </w:pPr>
      <w:r>
        <w:t>Relevant-staff coverage record.</w:t>
      </w:r>
    </w:p>
    <w:p>
      <w:pPr>
        <w:pStyle w:val="Heading2"/>
      </w:pPr>
      <w:r>
        <w:t>HRM.5.c — Control and restraint training.</w:t>
      </w:r>
    </w:p>
    <w:p>
      <w:pPr>
        <w:pStyle w:val="ListBullet"/>
      </w:pPr>
      <w:r>
        <w:t>Control-and-restraint-technique training record.</w:t>
      </w:r>
    </w:p>
    <w:p>
      <w:pPr>
        <w:pStyle w:val="ListBullet"/>
      </w:pPr>
      <w:r>
        <w:t>Relevant-staff coverage record.</w:t>
      </w:r>
    </w:p>
    <w:p>
      <w:pPr>
        <w:pStyle w:val="Heading2"/>
      </w:pPr>
      <w:r>
        <w:t>HRM.5.d — Healthcare communication training.</w:t>
      </w:r>
    </w:p>
    <w:p>
      <w:pPr>
        <w:pStyle w:val="ListBullet"/>
      </w:pPr>
      <w:r>
        <w:t>Healthcare-communication-technique training record.</w:t>
      </w:r>
    </w:p>
    <w:p>
      <w:pPr>
        <w:pStyle w:val="ListBullet"/>
      </w:pPr>
      <w:r>
        <w:t>Training-needs source record — complaints, incident reports, appraisals, feedback.</w:t>
      </w:r>
    </w:p>
    <w:p>
      <w:pPr>
        <w:pStyle w:val="Heading2"/>
      </w:pPr>
      <w:r>
        <w:t>HRM.5.e — Periodic CPR training.</w:t>
      </w:r>
    </w:p>
    <w:p>
      <w:pPr>
        <w:pStyle w:val="ListBullet"/>
      </w:pPr>
      <w:r>
        <w:t>Periodic CPR-training record for direct-patient-care staff, at least once in two years or sooner after protocol change.</w:t>
      </w:r>
    </w:p>
    <w:p>
      <w:pPr>
        <w:pStyle w:val="ListBullet"/>
      </w:pPr>
      <w:r>
        <w:t>Advanced-training record for emergency, ICU or high-dependency staff.</w:t>
      </w:r>
    </w:p>
    <w:p>
      <w:pPr>
        <w:pStyle w:val="ListBullet"/>
      </w:pPr>
      <w:r>
        <w:t>Refresher-schedule tracking record.</w:t>
      </w:r>
    </w:p>
    <w:p>
      <w:pPr>
        <w:pStyle w:val="Heading2"/>
      </w:pPr>
      <w:r>
        <w:t>HRM.5.f — Infection prevention and control training.</w:t>
      </w:r>
    </w:p>
    <w:p>
      <w:pPr>
        <w:pStyle w:val="ListBullet"/>
      </w:pPr>
      <w:r>
        <w:t>Infection-prevention-and-control training record at least annually.</w:t>
      </w:r>
    </w:p>
    <w:p>
      <w:pPr>
        <w:pStyle w:val="ListBullet"/>
      </w:pPr>
      <w:r>
        <w:t>Antimicrobial-stewardship-content record for medical professionals, IPC nurses, clinical pharmacist and support staff.</w:t>
      </w:r>
    </w:p>
    <w:p>
      <w:pPr>
        <w:pStyle w:val="Heading1"/>
      </w:pPr>
      <w:r>
        <w:t>13. References</w:t>
      </w:r>
    </w:p>
    <w:p>
      <w:pPr>
        <w:pStyle w:val="ListBullet"/>
      </w:pPr>
      <w:r>
        <w:t>NABH Accreditation Standards for Hospitals, 6th Edition — standard HRM.5.</w:t>
      </w:r>
    </w:p>
    <w:p>
      <w:pPr>
        <w:pStyle w:val="ListBullet"/>
      </w:pPr>
      <w:r>
        <w:t>NABH Guidebook to Accreditation Standards for Hospitals, 6th Edition — HRM.5 interpretations.</w:t>
      </w:r>
    </w:p>
    <w:p>
      <w:pPr>
        <w:pStyle w:val="Heading1"/>
      </w:pPr>
      <w:r>
        <w:t>Disclaimer</w:t>
      </w:r>
    </w:p>
    <w:p>
      <w:pPr/>
      <w:r>
        <w:t>This document is a template prepared for the guidance of «Hospital Name» and must be reviewed, adapted and formally approved by «Hospital Name» before use. Every entry marked ________ must be completed before the document is issued.</w:t>
      </w:r>
    </w:p>
    <w:p>
      <w:pPr/>
      <w:r>
        <w:t>The requirements in this document are accreditation requirements of the NABH Full Accreditation Standards for Hospitals, 6th Edition, not duties under a named Act of Parliament. Statutory duties that arise under other documents of «Hospital Name» remain those documents. «Hospital Name» is responsible for verifying any statutory duty that applies to it; this document does not constitute legal advice.</w:t>
      </w:r>
    </w:p>
    <w:p>
      <w:pPr/>
      <w:r>
        <w:t>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r>
        <w:t>This document is not issued by, endorsed by, or affiliated with NABH or any other body named in it. Wording is original; no text has been reproduced from the standards, rules or guidelines referenced.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