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Safety and Quality-Related Staff Training</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HCO/HRM/POL/06</w:t>
            </w:r>
          </w:p>
        </w:tc>
        <w:tc>
          <w:tcPr>
            <w:tcW w:type="dxa" w:w="2160"/>
          </w:tcPr>
          <w:p>
            <w:r>
              <w:t>Version</w:t>
            </w:r>
          </w:p>
        </w:tc>
        <w:tc>
          <w:tcPr>
            <w:tcW w:type="dxa" w:w="2160"/>
          </w:tcPr>
          <w:p>
            <w:r>
              <w:t>1.0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HR In-Charge / Personnel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trains staff in safety and quality-related aspects of their work so that they can protect patients, themselves, and each other, respond correctly to incidents and emergencies, and contribute to the hospital's quality improvement programme.</w:t>
      </w:r>
    </w:p>
    <w:p>
      <w:pPr>
        <w:pStyle w:val="Heading1"/>
      </w:pPr>
      <w:r>
        <w:t>1. Purpose</w:t>
      </w:r>
    </w:p>
    <w:p>
      <w:pPr/>
      <w:r>
        <w:t>This policy sets out how «Hospital Name» trains staff in the organisation's safety programme, in detecting and handling risks in the work environment, in the procedure to follow during an incident, in occupational safety, in the disaster management plan, in handling fire and non-fire emergencies, and in the organisation's quality improvement programme.</w:t>
      </w:r>
    </w:p>
    <w:p>
      <w:pPr/>
      <w:r>
        <w:t>This policy does not cover recruitment, induction, job-specific clinical training, or performance appraisal — those are covered in other hospital policies. The other HRM standards have their own policies too.</w:t>
      </w:r>
    </w:p>
    <w:p>
      <w:pPr>
        <w:pStyle w:val="Heading1"/>
      </w:pPr>
      <w:r>
        <w:t>2. Scope</w:t>
      </w:r>
    </w:p>
    <w:p>
      <w:pPr/>
      <w:r>
        <w:t>This policy applies to all staff of «Hospital Name», across departments and categories. Staff working in laboratory, imaging, emergency, intensive care, the blood centre and surgical services receive additional department-specific safety and quality assurance training as described in Section 5.</w:t>
      </w:r>
    </w:p>
    <w:p>
      <w:pPr>
        <w:pStyle w:val="Heading1"/>
      </w:pPr>
      <w:r>
        <w:t>3. Policy standards</w:t>
      </w:r>
    </w:p>
    <w:p>
      <w:pPr/>
      <w:r>
        <w:t>«Hospital Name» trains staff in the organisation's safety programme, including patient safety, with additional safety training for staff working in laboratory and imaging services.</w:t>
      </w:r>
    </w:p>
    <w:p>
      <w:pPr/>
      <w:r>
        <w:t>«Hospital Name» trains staff to detect, handle, minimise and eliminate identified risks — physical, chemical, environmental and process-related — in the work environment, including practical demonstration of key actions.</w:t>
      </w:r>
    </w:p>
    <w:p>
      <w:pPr/>
      <w:r>
        <w:t>«Hospital Name» makes staff aware of the procedure to follow when an incident occurs.</w:t>
      </w:r>
    </w:p>
    <w:p>
      <w:pPr/>
      <w:r>
        <w:t>«Hospital Name» trains staff in occupational safety aspects for areas with identified occupational hazards.</w:t>
      </w:r>
    </w:p>
    <w:p>
      <w:pPr/>
      <w:r>
        <w:t>«Hospital Name» trains staff in the disaster management plan and their specific role in managing an internal or external disaster.</w:t>
      </w:r>
    </w:p>
    <w:p>
      <w:pPr/>
      <w:r>
        <w:t>«Hospital Name» trains staff in handling fire and non-fire emergencies, including their specific role in each.</w:t>
      </w:r>
    </w:p>
    <w:p>
      <w:pPr/>
      <w:r>
        <w:t>«Hospital Name» trains staff in the organisation's quality improvement programme, including their own role in it, with additional department-specific quality assurance training where applicable.</w:t>
      </w:r>
    </w:p>
    <w:p>
      <w:pPr>
        <w:pStyle w:val="Heading1"/>
      </w:pPr>
      <w:r>
        <w:t>4. Non-negotiable rules</w:t>
      </w:r>
    </w:p>
    <w:p>
      <w:pPr>
        <w:pStyle w:val="ListNumber"/>
      </w:pPr>
      <w:r>
        <w:t>Do not put a staff member to work without training them in the organisation's safety programme, including patient safety.</w:t>
      </w:r>
    </w:p>
    <w:p>
      <w:pPr>
        <w:pStyle w:val="ListNumber"/>
      </w:pPr>
      <w:r>
        <w:t>Do not send staff into the work environment without training them to detect, handle, minimise and eliminate the identified physical, chemical, environmental and process-related risks in that environment.</w:t>
      </w:r>
    </w:p>
    <w:p>
      <w:pPr>
        <w:pStyle w:val="ListNumber"/>
      </w:pPr>
      <w:r>
        <w:t>Do not leave staff unaware of the procedure to follow when an incident occurs.</w:t>
      </w:r>
    </w:p>
    <w:p>
      <w:pPr>
        <w:pStyle w:val="ListNumber"/>
      </w:pPr>
      <w:r>
        <w:t>Do not skip occupational safety training for staff working in areas with identified occupational hazards.</w:t>
      </w:r>
    </w:p>
    <w:p>
      <w:pPr>
        <w:pStyle w:val="ListNumber"/>
      </w:pPr>
      <w:r>
        <w:t>Do not leave a staff member untrained in the disaster management plan and their specific role in it.</w:t>
      </w:r>
    </w:p>
    <w:p>
      <w:pPr>
        <w:pStyle w:val="ListNumber"/>
      </w:pPr>
      <w:r>
        <w:t>Do not leave a staff member untrained in handling fire and non-fire emergencies.</w:t>
      </w:r>
    </w:p>
    <w:p>
      <w:pPr>
        <w:pStyle w:val="ListNumber"/>
      </w:pPr>
      <w:r>
        <w:t>Do not leave staff unaware of the quality improvement programme's structure and their own role in it.</w:t>
      </w:r>
    </w:p>
    <w:p>
      <w:pPr>
        <w:pStyle w:val="ListNumber"/>
      </w:pPr>
      <w:r>
        <w:t>Staff who see a rule under this policy broken report it the same shift to the HR In-Charge / Personnel Officer or the Medical Superintendent.</w:t>
      </w:r>
    </w:p>
    <w:p>
      <w:pPr>
        <w:pStyle w:val="Heading1"/>
      </w:pPr>
      <w:r>
        <w:t>5. What we do</w:t>
      </w:r>
    </w:p>
    <w:p>
      <w:pPr>
        <w:pStyle w:val="Heading2"/>
      </w:pPr>
      <w:r>
        <w:t>5.1 Safety programme training</w:t>
      </w:r>
    </w:p>
    <w:p>
      <w:pPr/>
      <w:r>
        <w:t>Staff at «Hospital Name» are trained in the organisation's safety programme, including patient safety, through a regular training programme or printed materials. Staff working in laboratory and imaging services are additionally trained in their respective safety programmes. The safety programme itself is covered in other hospital policies; this policy covers the staff training layer.</w:t>
      </w:r>
    </w:p>
    <w:p>
      <w:pPr>
        <w:pStyle w:val="Heading2"/>
      </w:pPr>
      <w:r>
        <w:t>5.2 Risk detection and handling</w:t>
      </w:r>
    </w:p>
    <w:p>
      <w:pPr/>
      <w:r>
        <w:t>Staff at «Hospital Name» are trained in detecting, handling, minimising and eliminating identified risks in the organisation's environment — physical (poor lighting, slippery floors, blind corners, open electrical points, exposed wiring), chemical (mishandling, spills, aerosolisation), environmental (noise, smoke, dampness, heat) and process-related (needle-stick injury, blood and body-fluid exposure, cytotoxic drugs, soiled linen). Staff can practically demonstrate actions such as managing a blood spill or handling hazardous materials.</w:t>
      </w:r>
    </w:p>
    <w:p>
      <w:pPr>
        <w:pStyle w:val="Heading2"/>
      </w:pPr>
      <w:r>
        <w:t>5.3 Incident procedure awareness</w:t>
      </w:r>
    </w:p>
    <w:p>
      <w:pPr/>
      <w:r>
        <w:t>Staff at «Hospital Name» are made aware of the procedure to follow in the event of an incident, and are able to describe the sequence of events they will undertake if one occurs.</w:t>
      </w:r>
    </w:p>
    <w:p>
      <w:pPr>
        <w:pStyle w:val="Heading2"/>
      </w:pPr>
      <w:r>
        <w:t>5.4 Occupational safety training</w:t>
      </w:r>
    </w:p>
    <w:p>
      <w:pPr/>
      <w:r>
        <w:t>Staff at «Hospital Name» are trained in occupational safety aspects for the areas with identified occupational hazards — for example needle-stick injury and blood/body-fluid exposure, radiation exposure, laser exposure, medical-gas exposure, chemotherapy exposure and noise in utility areas — and in the preventive actions to avoid each risk. Occupational-exposure practice itself is covered in other hospital policies; this policy covers the staff training layer.</w:t>
      </w:r>
    </w:p>
    <w:p>
      <w:pPr>
        <w:pStyle w:val="Heading2"/>
      </w:pPr>
      <w:r>
        <w:t>5.5 Disaster management plan training</w:t>
      </w:r>
    </w:p>
    <w:p>
      <w:pPr/>
      <w:r>
        <w:t>Staff at «Hospital Name» are trained in the organisation's disaster management plan, including their specific role in managing an internal or external disaster.</w:t>
      </w:r>
    </w:p>
    <w:p>
      <w:pPr>
        <w:pStyle w:val="Heading2"/>
      </w:pPr>
      <w:r>
        <w:t>5.6 Fire and non-fire emergency training</w:t>
      </w:r>
    </w:p>
    <w:p>
      <w:pPr/>
      <w:r>
        <w:t>Staff at «Hospital Name» are trained in handling fire and non-fire emergencies: classes of fire, use of fire extinguishers, evacuation plans and fire procedures, plus the hospital's identified non-fire emergencies and each staff member's specific role in them.</w:t>
      </w:r>
    </w:p>
    <w:p>
      <w:pPr>
        <w:pStyle w:val="Heading2"/>
      </w:pPr>
      <w:r>
        <w:t>5.7 Quality improvement programme training</w:t>
      </w:r>
    </w:p>
    <w:p>
      <w:pPr/>
      <w:r>
        <w:t>Staff at «Hospital Name» are trained in the organisation's quality improvement programme — its structure and their own role in contributing to it. Staff working in laboratory, imaging, emergency, intensive care, the blood centre and surgical services are additionally trained on their respective quality assurance programmes.</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HR In-Charge / Personnel Officer</w:t>
            </w:r>
          </w:p>
        </w:tc>
        <w:tc>
          <w:tcPr>
            <w:tcW w:type="dxa" w:w="4320"/>
          </w:tcPr>
          <w:p>
            <w:r>
              <w:t>Owns this policy. Plans and organises safety and quality-related training. Maintains training records.</w:t>
            </w:r>
          </w:p>
        </w:tc>
      </w:tr>
      <w:tr>
        <w:tc>
          <w:tcPr>
            <w:tcW w:type="dxa" w:w="4320"/>
          </w:tcPr>
          <w:p>
            <w:r>
              <w:t>Department heads / Unit In-Charges</w:t>
            </w:r>
          </w:p>
        </w:tc>
        <w:tc>
          <w:tcPr>
            <w:tcW w:type="dxa" w:w="4320"/>
          </w:tcPr>
          <w:p>
            <w:r>
              <w:t>Identify department-specific hazards and quality assurance training needs. Ensure staff under them attend required training.</w:t>
            </w:r>
          </w:p>
        </w:tc>
      </w:tr>
      <w:tr>
        <w:tc>
          <w:tcPr>
            <w:tcW w:type="dxa" w:w="4320"/>
          </w:tcPr>
          <w:p>
            <w:r>
              <w:t>Medical Superintendent</w:t>
            </w:r>
          </w:p>
        </w:tc>
        <w:tc>
          <w:tcPr>
            <w:tcW w:type="dxa" w:w="4320"/>
          </w:tcPr>
          <w:p>
            <w:r>
              <w:t>Oversees implementation of this policy. Receives escalations under Section 4.</w:t>
            </w:r>
          </w:p>
        </w:tc>
      </w:tr>
      <w:tr>
        <w:tc>
          <w:tcPr>
            <w:tcW w:type="dxa" w:w="4320"/>
          </w:tcPr>
          <w:p>
            <w:r>
              <w:t>All Staff</w:t>
            </w:r>
          </w:p>
        </w:tc>
        <w:tc>
          <w:tcPr>
            <w:tcW w:type="dxa" w:w="4320"/>
          </w:tcPr>
          <w:p>
            <w:r>
              <w:t>Attend and complete required training. Report identified risks and rule breaches.</w:t>
            </w:r>
          </w:p>
        </w:tc>
      </w:tr>
    </w:tbl>
    <w:p>
      <w:pPr>
        <w:pStyle w:val="Heading1"/>
      </w:pPr>
      <w:r>
        <w:t>7. Quality monitoring</w:t>
      </w:r>
    </w:p>
    <w:p>
      <w:pPr/>
      <w:r>
        <w:t>The HR In-Charge / Personnel Officer reviews training records to confirm staff have completed the training required under this policy. Documentary evidence is on file for each CORE objective element. This policy itself is reviewed every year.</w:t>
      </w:r>
    </w:p>
    <w:p>
      <w:pPr>
        <w:pStyle w:val="Heading1"/>
      </w:pPr>
      <w:r>
        <w:t>8. Training and staff acknowledgement</w:t>
      </w:r>
    </w:p>
    <w:p>
      <w:pPr/>
      <w:r>
        <w:t>All staff covered by this policy complete the training described in Section 5 and sign the acknowledgement below.</w:t>
      </w:r>
    </w:p>
    <w:p>
      <w:pPr/>
      <w:r>
        <w:t>I have read the Policy on Safety and Quality-Related Staff Training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HR department; all department heads / unit in-charges; all staff through the hospital intranet and department policy folders.</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HCO</w:t>
            </w:r>
          </w:p>
        </w:tc>
        <w:tc>
          <w:tcPr>
            <w:tcW w:type="dxa" w:w="4320"/>
          </w:tcPr>
          <w:p>
            <w:r>
              <w:t>Hospital (Full Accreditation programme under NABH Hospitals 6th Edition)</w:t>
            </w:r>
          </w:p>
        </w:tc>
      </w:tr>
      <w:tr>
        <w:tc>
          <w:tcPr>
            <w:tcW w:type="dxa" w:w="4320"/>
          </w:tcPr>
          <w:p>
            <w:r>
              <w:t>HR</w:t>
            </w:r>
          </w:p>
        </w:tc>
        <w:tc>
          <w:tcPr>
            <w:tcW w:type="dxa" w:w="4320"/>
          </w:tcPr>
          <w:p>
            <w:r>
              <w:t>Human Resources</w:t>
            </w:r>
          </w:p>
        </w:tc>
      </w:tr>
      <w:tr>
        <w:tc>
          <w:tcPr>
            <w:tcW w:type="dxa" w:w="4320"/>
          </w:tcPr>
          <w:p>
            <w:r>
              <w:t>HRM</w:t>
            </w:r>
          </w:p>
        </w:tc>
        <w:tc>
          <w:tcPr>
            <w:tcW w:type="dxa" w:w="4320"/>
          </w:tcPr>
          <w:p>
            <w:r>
              <w:t>Human Resource Management (NABH Hospitals 6th Edition chapter)</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bl>
    <w:p>
      <w:pPr>
        <w:pStyle w:val="Heading1"/>
      </w:pPr>
      <w:r>
        <w:t>11. Traceability to NABH HCO Full Accreditation 6th Edition HRM.6</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OE</w:t>
            </w:r>
          </w:p>
        </w:tc>
        <w:tc>
          <w:tcPr>
            <w:tcW w:type="dxa" w:w="2160"/>
          </w:tcPr>
          <w:p>
            <w:r>
              <w:t>Level</w:t>
            </w:r>
          </w:p>
        </w:tc>
        <w:tc>
          <w:tcPr>
            <w:tcW w:type="dxa" w:w="2160"/>
          </w:tcPr>
          <w:p>
            <w:r>
              <w:t>Where addressed</w:t>
            </w:r>
          </w:p>
        </w:tc>
        <w:tc>
          <w:tcPr>
            <w:tcW w:type="dxa" w:w="2160"/>
          </w:tcPr>
          <w:p>
            <w:r>
              <w:t>Responsible</w:t>
            </w:r>
          </w:p>
        </w:tc>
      </w:tr>
      <w:tr>
        <w:tc>
          <w:tcPr>
            <w:tcW w:type="dxa" w:w="2160"/>
          </w:tcPr>
          <w:p>
            <w:r>
              <w:t>HRM.6.a</w:t>
            </w:r>
          </w:p>
        </w:tc>
        <w:tc>
          <w:tcPr>
            <w:tcW w:type="dxa" w:w="2160"/>
          </w:tcPr>
          <w:p>
            <w:r>
              <w:t>Commitment</w:t>
            </w:r>
          </w:p>
        </w:tc>
        <w:tc>
          <w:tcPr>
            <w:tcW w:type="dxa" w:w="2160"/>
          </w:tcPr>
          <w:p>
            <w:r>
              <w:t>Section 3; 5.1</w:t>
            </w:r>
          </w:p>
        </w:tc>
        <w:tc>
          <w:tcPr>
            <w:tcW w:type="dxa" w:w="2160"/>
          </w:tcPr>
          <w:p>
            <w:r>
              <w:t>HR In-Charge / Personnel Officer</w:t>
            </w:r>
          </w:p>
        </w:tc>
      </w:tr>
      <w:tr>
        <w:tc>
          <w:tcPr>
            <w:tcW w:type="dxa" w:w="2160"/>
          </w:tcPr>
          <w:p>
            <w:r>
              <w:t>HRM.6.b</w:t>
            </w:r>
          </w:p>
        </w:tc>
        <w:tc>
          <w:tcPr>
            <w:tcW w:type="dxa" w:w="2160"/>
          </w:tcPr>
          <w:p>
            <w:r>
              <w:t>Commitment</w:t>
            </w:r>
          </w:p>
        </w:tc>
        <w:tc>
          <w:tcPr>
            <w:tcW w:type="dxa" w:w="2160"/>
          </w:tcPr>
          <w:p>
            <w:r>
              <w:t>Section 3; 5.2</w:t>
            </w:r>
          </w:p>
        </w:tc>
        <w:tc>
          <w:tcPr>
            <w:tcW w:type="dxa" w:w="2160"/>
          </w:tcPr>
          <w:p>
            <w:r>
              <w:t>HR In-Charge / Personnel Officer</w:t>
            </w:r>
          </w:p>
        </w:tc>
      </w:tr>
      <w:tr>
        <w:tc>
          <w:tcPr>
            <w:tcW w:type="dxa" w:w="2160"/>
          </w:tcPr>
          <w:p>
            <w:r>
              <w:t>HRM.6.c</w:t>
            </w:r>
          </w:p>
        </w:tc>
        <w:tc>
          <w:tcPr>
            <w:tcW w:type="dxa" w:w="2160"/>
          </w:tcPr>
          <w:p>
            <w:r>
              <w:t>Commitment</w:t>
            </w:r>
          </w:p>
        </w:tc>
        <w:tc>
          <w:tcPr>
            <w:tcW w:type="dxa" w:w="2160"/>
          </w:tcPr>
          <w:p>
            <w:r>
              <w:t>Section 3; 5.3</w:t>
            </w:r>
          </w:p>
        </w:tc>
        <w:tc>
          <w:tcPr>
            <w:tcW w:type="dxa" w:w="2160"/>
          </w:tcPr>
          <w:p>
            <w:r>
              <w:t>HR In-Charge / Personnel Officer</w:t>
            </w:r>
          </w:p>
        </w:tc>
      </w:tr>
      <w:tr>
        <w:tc>
          <w:tcPr>
            <w:tcW w:type="dxa" w:w="2160"/>
          </w:tcPr>
          <w:p>
            <w:r>
              <w:t>HRM.6.d</w:t>
            </w:r>
          </w:p>
        </w:tc>
        <w:tc>
          <w:tcPr>
            <w:tcW w:type="dxa" w:w="2160"/>
          </w:tcPr>
          <w:p>
            <w:r>
              <w:t>Commitment</w:t>
            </w:r>
          </w:p>
        </w:tc>
        <w:tc>
          <w:tcPr>
            <w:tcW w:type="dxa" w:w="2160"/>
          </w:tcPr>
          <w:p>
            <w:r>
              <w:t>Section 3; 5.4</w:t>
            </w:r>
          </w:p>
        </w:tc>
        <w:tc>
          <w:tcPr>
            <w:tcW w:type="dxa" w:w="2160"/>
          </w:tcPr>
          <w:p>
            <w:r>
              <w:t>HR In-Charge / Personnel Officer</w:t>
            </w:r>
          </w:p>
        </w:tc>
      </w:tr>
      <w:tr>
        <w:tc>
          <w:tcPr>
            <w:tcW w:type="dxa" w:w="2160"/>
          </w:tcPr>
          <w:p>
            <w:r>
              <w:t>HRM.6.e</w:t>
            </w:r>
          </w:p>
        </w:tc>
        <w:tc>
          <w:tcPr>
            <w:tcW w:type="dxa" w:w="2160"/>
          </w:tcPr>
          <w:p>
            <w:r>
              <w:t>CORE</w:t>
            </w:r>
          </w:p>
        </w:tc>
        <w:tc>
          <w:tcPr>
            <w:tcW w:type="dxa" w:w="2160"/>
          </w:tcPr>
          <w:p>
            <w:r>
              <w:t>Section 3; 5.5</w:t>
            </w:r>
          </w:p>
        </w:tc>
        <w:tc>
          <w:tcPr>
            <w:tcW w:type="dxa" w:w="2160"/>
          </w:tcPr>
          <w:p>
            <w:r>
              <w:t>HR In-Charge / Personnel Officer</w:t>
            </w:r>
          </w:p>
        </w:tc>
      </w:tr>
      <w:tr>
        <w:tc>
          <w:tcPr>
            <w:tcW w:type="dxa" w:w="2160"/>
          </w:tcPr>
          <w:p>
            <w:r>
              <w:t>HRM.6.f</w:t>
            </w:r>
          </w:p>
        </w:tc>
        <w:tc>
          <w:tcPr>
            <w:tcW w:type="dxa" w:w="2160"/>
          </w:tcPr>
          <w:p>
            <w:r>
              <w:t>CORE</w:t>
            </w:r>
          </w:p>
        </w:tc>
        <w:tc>
          <w:tcPr>
            <w:tcW w:type="dxa" w:w="2160"/>
          </w:tcPr>
          <w:p>
            <w:r>
              <w:t>Section 3; 5.6</w:t>
            </w:r>
          </w:p>
        </w:tc>
        <w:tc>
          <w:tcPr>
            <w:tcW w:type="dxa" w:w="2160"/>
          </w:tcPr>
          <w:p>
            <w:r>
              <w:t>HR In-Charge / Personnel Officer</w:t>
            </w:r>
          </w:p>
        </w:tc>
      </w:tr>
      <w:tr>
        <w:tc>
          <w:tcPr>
            <w:tcW w:type="dxa" w:w="2160"/>
          </w:tcPr>
          <w:p>
            <w:r>
              <w:t>HRM.6.g</w:t>
            </w:r>
          </w:p>
        </w:tc>
        <w:tc>
          <w:tcPr>
            <w:tcW w:type="dxa" w:w="2160"/>
          </w:tcPr>
          <w:p>
            <w:r>
              <w:t>Commitment</w:t>
            </w:r>
          </w:p>
        </w:tc>
        <w:tc>
          <w:tcPr>
            <w:tcW w:type="dxa" w:w="2160"/>
          </w:tcPr>
          <w:p>
            <w:r>
              <w:t>Section 3; 5.7</w:t>
            </w:r>
          </w:p>
        </w:tc>
        <w:tc>
          <w:tcPr>
            <w:tcW w:type="dxa" w:w="2160"/>
          </w:tcPr>
          <w:p>
            <w:r>
              <w:t>HR In-Charge / Personnel Officer</w:t>
            </w:r>
          </w:p>
        </w:tc>
      </w:tr>
    </w:tbl>
    <w:p>
      <w:pPr>
        <w:pStyle w:val="Heading1"/>
      </w:pPr>
      <w:r>
        <w:t>12. Required Records / Evidence Checklist</w:t>
      </w:r>
    </w:p>
    <w:p>
      <w:pPr>
        <w:pStyle w:val="Heading2"/>
      </w:pPr>
      <w:r>
        <w:t>HRM.6.a — Safety programme training.</w:t>
      </w:r>
    </w:p>
    <w:p>
      <w:pPr>
        <w:pStyle w:val="ListBullet"/>
      </w:pPr>
      <w:r>
        <w:t>Safety-programme training record for all staff, including patient-safety content.</w:t>
      </w:r>
    </w:p>
    <w:p>
      <w:pPr>
        <w:pStyle w:val="ListBullet"/>
      </w:pPr>
      <w:r>
        <w:t>Laboratory- or imaging-specific safety-training record, where applicable.</w:t>
      </w:r>
    </w:p>
    <w:p>
      <w:pPr>
        <w:pStyle w:val="ListBullet"/>
      </w:pPr>
      <w:r>
        <w:t>Attendance record for all safety-programme training sessions.</w:t>
      </w:r>
    </w:p>
    <w:p>
      <w:pPr>
        <w:pStyle w:val="Heading2"/>
      </w:pPr>
      <w:r>
        <w:t>HRM.6.b — Risk detection and handling.</w:t>
      </w:r>
    </w:p>
    <w:p>
      <w:pPr>
        <w:pStyle w:val="ListBullet"/>
      </w:pPr>
      <w:r>
        <w:t>Risk-detection-and-handling training record — physical, chemical, environmental and process-related risks.</w:t>
      </w:r>
    </w:p>
    <w:p>
      <w:pPr>
        <w:pStyle w:val="ListBullet"/>
      </w:pPr>
      <w:r>
        <w:t>Practical-demonstration record — blood-spill management, hazardous-material handling.</w:t>
      </w:r>
    </w:p>
    <w:p>
      <w:pPr>
        <w:pStyle w:val="Heading2"/>
      </w:pPr>
      <w:r>
        <w:t>HRM.6.c — Incident procedure awareness.</w:t>
      </w:r>
    </w:p>
    <w:p>
      <w:pPr>
        <w:pStyle w:val="ListBullet"/>
      </w:pPr>
      <w:r>
        <w:t>Incident-procedure awareness record and staff confirmation record of procedure steps.</w:t>
      </w:r>
    </w:p>
    <w:p>
      <w:pPr>
        <w:pStyle w:val="Heading2"/>
      </w:pPr>
      <w:r>
        <w:t>HRM.6.d — Occupational safety training.</w:t>
      </w:r>
    </w:p>
    <w:p>
      <w:pPr>
        <w:pStyle w:val="ListBullet"/>
      </w:pPr>
      <w:r>
        <w:t>Occupational-safety-aspect training record — needle-stick, radiation, laser, medical-gas, chemotherapy, noise exposure.</w:t>
      </w:r>
    </w:p>
    <w:p>
      <w:pPr>
        <w:pStyle w:val="ListBullet"/>
      </w:pPr>
      <w:r>
        <w:t>Preventive-action awareness record for each identified occupational hazard.</w:t>
      </w:r>
    </w:p>
    <w:p>
      <w:pPr>
        <w:pStyle w:val="Heading2"/>
      </w:pPr>
      <w:r>
        <w:t>HRM.6.e — Disaster management plan training.</w:t>
      </w:r>
    </w:p>
    <w:p>
      <w:pPr>
        <w:pStyle w:val="ListBullet"/>
      </w:pPr>
      <w:r>
        <w:t>Disaster-management-plan training record, including specific-role training for internal and external disaster scenarios.</w:t>
      </w:r>
    </w:p>
    <w:p>
      <w:pPr>
        <w:pStyle w:val="Heading2"/>
      </w:pPr>
      <w:r>
        <w:t>HRM.6.f — Fire and non-fire emergency training.</w:t>
      </w:r>
    </w:p>
    <w:p>
      <w:pPr>
        <w:pStyle w:val="ListBullet"/>
      </w:pPr>
      <w:r>
        <w:t>Fire-and-non-fire-emergency training record, including fire-extinguisher use and evacuation-procedure demonstration record.</w:t>
      </w:r>
    </w:p>
    <w:p>
      <w:pPr>
        <w:pStyle w:val="ListBullet"/>
      </w:pPr>
      <w:r>
        <w:t>Role-specific emergency-training record for each identified non-fire emergency.</w:t>
      </w:r>
    </w:p>
    <w:p>
      <w:pPr>
        <w:pStyle w:val="Heading2"/>
      </w:pPr>
      <w:r>
        <w:t>HRM.6.g — Quality improvement programme training.</w:t>
      </w:r>
    </w:p>
    <w:p>
      <w:pPr>
        <w:pStyle w:val="ListBullet"/>
      </w:pPr>
      <w:r>
        <w:t>Quality-improvement-programme training record, including role-in-programme awareness record.</w:t>
      </w:r>
    </w:p>
    <w:p>
      <w:pPr>
        <w:pStyle w:val="ListBullet"/>
      </w:pPr>
      <w:r>
        <w:t>Department-specific quality-assurance training record, where applicable — laboratory, imaging, emergency, intensive care, blood centre, surgical services.</w:t>
      </w:r>
    </w:p>
    <w:p>
      <w:pPr>
        <w:pStyle w:val="Heading1"/>
      </w:pPr>
      <w:r>
        <w:t>13. References</w:t>
      </w:r>
    </w:p>
    <w:p>
      <w:pPr>
        <w:pStyle w:val="ListBullet"/>
      </w:pPr>
      <w:r>
        <w:t>NABH Accreditation Standards for Hospitals, 6th Edition — standard HRM.6.</w:t>
      </w:r>
    </w:p>
    <w:p>
      <w:pPr>
        <w:pStyle w:val="ListBullet"/>
      </w:pPr>
      <w:r>
        <w:t>NABH Guidebook to Accreditation Standards for Hospitals, 6th Edition — HRM.6 interpretations.</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