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Availability and Retention of Current Documents, Records, Data and Information</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Medical Records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ensures the availability of current and relevant documents, records, data and information, and provides for their retention and eventual destruction in an orderly, compliant manner.</w:t>
      </w:r>
    </w:p>
    <w:p>
      <w:pPr>
        <w:pStyle w:val="Heading1"/>
        <w:spacing w:after="120" w:before="240"/>
      </w:pPr>
      <w:r>
        <w:t xml:space="preserve">1. Purpose</w:t>
      </w:r>
    </w:p>
    <w:p>
      <w:pPr>
        <w:spacing w:after="160"/>
      </w:pPr>
      <w:r>
        <w:t xml:space="preserve">This policy sets out how «Hospital Name» controls documents so only current, authorised versions are in use; retains patients' clinical records, data and information per its requirements; keeps the retention process confidential and secure; and destroys records, data and information per written guidance.</w:t>
      </w:r>
    </w:p>
    <w:p>
      <w:pPr>
        <w:spacing w:after="160"/>
      </w:pPr>
      <w:r>
        <w:t xml:space="preserve">This policy does not cover medical record content or confidentiality/security of active records — those are covered in other hospital policies. The other IMS standards have their own policies too.</w:t>
      </w:r>
    </w:p>
    <w:p>
      <w:pPr>
        <w:pStyle w:val="Heading1"/>
        <w:spacing w:after="120" w:before="240"/>
      </w:pPr>
      <w:r>
        <w:t xml:space="preserve">2. Scope</w:t>
      </w:r>
    </w:p>
    <w:p>
      <w:pPr>
        <w:spacing w:after="160"/>
      </w:pPr>
      <w:r>
        <w:t xml:space="preserve">This policy applies to all documents, records, data and information — physical and electronic — held by «Hospital Name», from creation through retention to destruction.</w:t>
      </w:r>
    </w:p>
    <w:p>
      <w:pPr>
        <w:pStyle w:val="Heading1"/>
        <w:spacing w:after="120" w:before="240"/>
      </w:pPr>
      <w:r>
        <w:t xml:space="preserve">3. Policy standards</w:t>
      </w:r>
    </w:p>
    <w:p>
      <w:pPr>
        <w:spacing w:after="160"/>
      </w:pPr>
      <w:r>
        <w:t xml:space="preserve">«Hospital Name» has an effective process for document control.</w:t>
      </w:r>
    </w:p>
    <w:p>
      <w:pPr>
        <w:spacing w:after="160"/>
      </w:pPr>
      <w:r>
        <w:t xml:space="preserve">«Hospital Name» retains patients' clinical records, data and information according to its requirements.</w:t>
      </w:r>
    </w:p>
    <w:p>
      <w:pPr>
        <w:spacing w:after="160"/>
      </w:pPr>
      <w:r>
        <w:t xml:space="preserve">The retention process at «Hospital Name» provides expected confidentiality and security.</w:t>
      </w:r>
    </w:p>
    <w:p>
      <w:pPr>
        <w:spacing w:after="160"/>
      </w:pPr>
      <w:r>
        <w:t xml:space="preserve">The destruction of medical records, data and information at «Hospital Name» is in accordance with written guidance.</w:t>
      </w:r>
    </w:p>
    <w:p>
      <w:pPr>
        <w:pStyle w:val="Heading1"/>
        <w:spacing w:after="120" w:before="240"/>
      </w:pPr>
      <w:r>
        <w:t xml:space="preserve">4. Non-negotiable rules</w:t>
      </w:r>
    </w:p>
    <w:p>
      <w:pPr>
        <w:pStyle w:val="ListParagraph"/>
        <w:numPr>
          <w:ilvl w:val="0"/>
          <w:numId w:val="2"/>
        </w:numPr>
        <w:spacing w:after="120"/>
      </w:pPr>
      <w:r>
        <w:t xml:space="preserve">1. Do not use a document — form, format, policy or procedure — that is not current, relevant, and reviewed, authorised and released by a designated individual.</w:t>
      </w:r>
    </w:p>
    <w:p>
      <w:pPr>
        <w:pStyle w:val="ListParagraph"/>
        <w:numPr>
          <w:ilvl w:val="0"/>
          <w:numId w:val="2"/>
        </w:numPr>
        <w:spacing w:after="120"/>
      </w:pPr>
      <w:r>
        <w:t xml:space="preserve">2. Do not leave an obsolete document at the site of use — it must be removed and archived per the planned retention period.</w:t>
      </w:r>
    </w:p>
    <w:p>
      <w:pPr>
        <w:pStyle w:val="ListParagraph"/>
        <w:numPr>
          <w:ilvl w:val="0"/>
          <w:numId w:val="2"/>
        </w:numPr>
        <w:spacing w:after="120"/>
      </w:pPr>
      <w:r>
        <w:t xml:space="preserve">3. Do not set a retention period for out-patient, in-patient or medico-legal case records outside what is consonant with National Medical Commission rules and the respective state authority.</w:t>
      </w:r>
    </w:p>
    <w:p>
      <w:pPr>
        <w:pStyle w:val="ListParagraph"/>
        <w:numPr>
          <w:ilvl w:val="0"/>
          <w:numId w:val="2"/>
        </w:numPr>
        <w:spacing w:after="120"/>
      </w:pPr>
      <w:r>
        <w:t xml:space="preserve">4. Do not let the retention process compromise confidentiality or security — the same expectations apply to manual and electronic systems.</w:t>
      </w:r>
    </w:p>
    <w:p>
      <w:pPr>
        <w:pStyle w:val="ListParagraph"/>
        <w:numPr>
          <w:ilvl w:val="0"/>
          <w:numId w:val="2"/>
        </w:numPr>
        <w:spacing w:after="120"/>
      </w:pPr>
      <w:r>
        <w:t xml:space="preserve">5. Do not destroy a medical record, data or information without approval from the concerned internal/external authority and without following relevant statutory provisions.</w:t>
      </w:r>
    </w:p>
    <w:p>
      <w:pPr>
        <w:pStyle w:val="ListParagraph"/>
        <w:numPr>
          <w:ilvl w:val="0"/>
          <w:numId w:val="2"/>
        </w:numPr>
        <w:spacing w:after="120"/>
      </w:pPr>
      <w:r>
        <w:t xml:space="preserve">6. Staff who see a rule under this policy broken report it the same shift to the Medical Records In-Charge or the Medical Superintendent.</w:t>
      </w:r>
    </w:p>
    <w:p>
      <w:pPr>
        <w:pStyle w:val="Heading1"/>
        <w:spacing w:after="120" w:before="240"/>
      </w:pPr>
      <w:r>
        <w:t xml:space="preserve">5. What we do</w:t>
      </w:r>
    </w:p>
    <w:p>
      <w:pPr>
        <w:pStyle w:val="Heading2"/>
        <w:spacing w:after="100" w:before="160"/>
      </w:pPr>
      <w:r>
        <w:t xml:space="preserve">5.1 Document control</w:t>
      </w:r>
    </w:p>
    <w:p>
      <w:pPr>
        <w:spacing w:after="160"/>
      </w:pPr>
      <w:r>
        <w:t xml:space="preserve">«Hospital Name» ensures all documents in use — forms, formats, policies and procedures — are current and relevant. Documents are created, reviewed for adequacy, authorised and released by designated individuals, and reviewed for updating per a planned schedule. All approved documents are identifiable. Obsolete documents are removed from the site of use and archived per a planned retention period, based on the organisation's policy. Only current valid versions are available for use. Required policies, procedures and plans are available, and staff understand how to access those relevant to their work.</w:t>
      </w:r>
    </w:p>
    <w:p>
      <w:pPr>
        <w:pStyle w:val="Heading2"/>
        <w:spacing w:after="100" w:before="160"/>
      </w:pPr>
      <w:r>
        <w:t xml:space="preserve">5.2 Retention of clinical records</w:t>
      </w:r>
    </w:p>
    <w:p>
      <w:pPr>
        <w:spacing w:after="160"/>
      </w:pPr>
      <w:r>
        <w:t xml:space="preserve">«Hospital Name» defines the retention period for each category of medical record — out-patient, in-patient, and medico-legal case — in consonance with rules laid down by the National Medical Commission and the respective state authority. This also applies to various data and the formats — for example registers and forms — used to capture that data.</w:t>
      </w:r>
    </w:p>
    <w:p>
      <w:pPr>
        <w:pStyle w:val="Heading2"/>
        <w:spacing w:after="100" w:before="160"/>
      </w:pPr>
      <w:r>
        <w:t xml:space="preserve">5.3 Confidentiality and security of retention</w:t>
      </w:r>
    </w:p>
    <w:p>
      <w:pPr>
        <w:spacing w:after="160"/>
      </w:pPr>
      <w:r>
        <w:t xml:space="preserve">The retention process at «Hospital Name» provides the same expected confidentiality and security described in other hospital policies, applicable to both manual and electronic systems.</w:t>
      </w:r>
    </w:p>
    <w:p>
      <w:pPr>
        <w:pStyle w:val="Heading2"/>
        <w:spacing w:after="100" w:before="160"/>
      </w:pPr>
      <w:r>
        <w:t xml:space="preserve">5.4 Destruction</w:t>
      </w:r>
    </w:p>
    <w:p>
      <w:pPr>
        <w:spacing w:after="160"/>
      </w:pPr>
      <w:r>
        <w:t xml:space="preserve">Destruction of medical records, data and information at «Hospital Name» takes place only after the retention period is over and after approval from the concerned authority, internal or external. The destruction procedure follows relevant statutory provisions.</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Medical Records In-Charge</w:t>
            </w:r>
          </w:p>
        </w:tc>
        <w:tc>
          <w:tcPr>
            <w:tcW w:type="pct" w:w="65%"/>
            <w:vAlign w:val="center"/>
          </w:tcPr>
          <w:p>
            <w:r>
              <w:rPr>
                <w:b w:val="false"/>
                <w:bCs w:val="false"/>
              </w:rPr>
              <w:t xml:space="preserve">Owns this policy. Maintains the document-control system and retention/destruction schedules.</w:t>
            </w:r>
          </w:p>
        </w:tc>
      </w:tr>
      <w:tr>
        <w:tc>
          <w:tcPr>
            <w:tcW w:type="pct" w:w="35%"/>
            <w:vAlign w:val="center"/>
          </w:tcPr>
          <w:p>
            <w:r>
              <w:rPr>
                <w:b w:val="false"/>
                <w:bCs w:val="false"/>
              </w:rPr>
              <w:t xml:space="preserve">Document Owners / Department Heads</w:t>
            </w:r>
          </w:p>
        </w:tc>
        <w:tc>
          <w:tcPr>
            <w:tcW w:type="pct" w:w="65%"/>
            <w:vAlign w:val="center"/>
          </w:tcPr>
          <w:p>
            <w:r>
              <w:rPr>
                <w:b w:val="false"/>
                <w:bCs w:val="false"/>
              </w:rPr>
              <w:t xml:space="preserve">Author, review and authorise documents in their area; keep documents current.</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Approves record destruction requests.</w:t>
            </w:r>
          </w:p>
        </w:tc>
      </w:tr>
      <w:tr>
        <w:tc>
          <w:tcPr>
            <w:tcW w:type="pct" w:w="35%"/>
            <w:vAlign w:val="center"/>
          </w:tcPr>
          <w:p>
            <w:r>
              <w:rPr>
                <w:b w:val="false"/>
                <w:bCs w:val="false"/>
              </w:rPr>
              <w:t xml:space="preserve">All Staff</w:t>
            </w:r>
          </w:p>
        </w:tc>
        <w:tc>
          <w:tcPr>
            <w:tcW w:type="pct" w:w="65%"/>
            <w:vAlign w:val="center"/>
          </w:tcPr>
          <w:p>
            <w:r>
              <w:rPr>
                <w:b w:val="false"/>
                <w:bCs w:val="false"/>
              </w:rPr>
              <w:t xml:space="preserve">Use only current, released document versions. Report identified risks and rule breaches.</w:t>
            </w:r>
          </w:p>
        </w:tc>
      </w:tr>
    </w:tbl>
    <w:p>
      <w:pPr>
        <w:pStyle w:val="Heading1"/>
        <w:spacing w:after="120" w:before="240"/>
      </w:pPr>
      <w:r>
        <w:t xml:space="preserve">7. Quality monitoring</w:t>
      </w:r>
    </w:p>
    <w:p>
      <w:pPr>
        <w:spacing w:after="160"/>
      </w:pPr>
      <w:r>
        <w:t xml:space="preserve">The Medical Records In-Charge reviews document-control compliance and retention-schedule adherence periodically. Documentary evidence is on file for each CORE objective element and each asterisked objective element (marked CORE and * respectively in the Level column of Section 12, Traceability table).</w:t>
      </w:r>
    </w:p>
    <w:p>
      <w:pPr>
        <w:pStyle w:val="Heading1"/>
        <w:spacing w:after="120" w:before="240"/>
      </w:pPr>
      <w:r>
        <w:t xml:space="preserve">8. Training and staff acknowledgement</w:t>
      </w:r>
    </w:p>
    <w:p>
      <w:pPr>
        <w:spacing w:after="160"/>
      </w:pPr>
      <w:r>
        <w:t xml:space="preserve">All staff covered by this policy are trained on document-control procedures and how to access current, relevant documents for their work, and sign the acknowledgement below.</w:t>
      </w:r>
    </w:p>
    <w:p>
      <w:pPr>
        <w:spacing w:after="160"/>
      </w:pPr>
      <w:r>
        <w:t xml:space="preserve">Acknowledgement statement:</w:t>
      </w:r>
    </w:p>
    <w:p>
      <w:pPr>
        <w:spacing w:after="160"/>
      </w:pPr>
      <w:r>
        <w:t xml:space="preserve">"I have read the Policy on Availability and Retention of Current Documents, Records, Data and Information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Medical Records department, all department heads/unit in-charges,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IMS.6</w:t>
      </w:r>
    </w:p>
    <w:p>
      <w:pPr>
        <w:spacing w:after="160"/>
      </w:pPr>
      <w:r>
        <w:t xml:space="preserve">This table is an index. It is not how the process is organised. An asterisk in the Level column means documentation of the process is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E2F3" w:val="clear"/>
            <w:vAlign w:val="center"/>
          </w:tcPr>
          <w:p>
            <w:r>
              <w:rPr>
                <w:b/>
                <w:bCs/>
              </w:rPr>
              <w:t xml:space="preserve">OE Code</w:t>
            </w:r>
          </w:p>
        </w:tc>
        <w:tc>
          <w:tcPr>
            <w:shd w:fill="D9E2F3" w:val="clear"/>
            <w:vAlign w:val="center"/>
          </w:tcPr>
          <w:p>
            <w:r>
              <w:rPr>
                <w:b/>
                <w:bCs/>
              </w:rPr>
              <w:t xml:space="preserve">Objective Element (summary)</w:t>
            </w:r>
          </w:p>
        </w:tc>
        <w:tc>
          <w:tcPr>
            <w:shd w:fill="D9E2F3" w:val="clear"/>
            <w:vAlign w:val="center"/>
          </w:tcPr>
          <w:p>
            <w:r>
              <w:rPr>
                <w:b/>
                <w:bCs/>
              </w:rPr>
              <w:t xml:space="preserve">Level</w:t>
            </w:r>
          </w:p>
        </w:tc>
        <w:tc>
          <w:tcPr>
            <w:shd w:fill="D9E2F3" w:val="clear"/>
            <w:vAlign w:val="center"/>
          </w:tcPr>
          <w:p>
            <w:r>
              <w:rPr>
                <w:b/>
                <w:bCs/>
              </w:rPr>
              <w:t xml:space="preserve">Where addressed</w:t>
            </w:r>
          </w:p>
        </w:tc>
        <w:tc>
          <w:tcPr>
            <w:shd w:fill="D9E2F3" w:val="clear"/>
            <w:vAlign w:val="center"/>
          </w:tcPr>
          <w:p>
            <w:r>
              <w:rPr>
                <w:b/>
                <w:bCs/>
              </w:rPr>
              <w:t xml:space="preserve">Responsible</w:t>
            </w:r>
          </w:p>
        </w:tc>
      </w:tr>
      <w:tr>
        <w:tc>
          <w:tcPr>
            <w:vAlign w:val="center"/>
          </w:tcPr>
          <w:p>
            <w:r>
              <w:rPr>
                <w:b w:val="false"/>
                <w:bCs w:val="false"/>
              </w:rPr>
              <w:t xml:space="preserve">IMS.6.a</w:t>
            </w:r>
          </w:p>
        </w:tc>
        <w:tc>
          <w:tcPr>
            <w:vAlign w:val="center"/>
          </w:tcPr>
          <w:p>
            <w:r>
              <w:rPr>
                <w:b w:val="false"/>
                <w:bCs w:val="false"/>
              </w:rPr>
              <w:t xml:space="preserve">Effective process for document control</w:t>
            </w:r>
          </w:p>
        </w:tc>
        <w:tc>
          <w:tcPr>
            <w:vAlign w:val="center"/>
          </w:tcPr>
          <w:p>
            <w:r>
              <w:rPr>
                <w:b w:val="false"/>
                <w:bCs w:val="false"/>
              </w:rPr>
              <w:t xml:space="preserve">CORE*</w:t>
            </w:r>
          </w:p>
        </w:tc>
        <w:tc>
          <w:tcPr>
            <w:vAlign w:val="center"/>
          </w:tcPr>
          <w:p>
            <w:r>
              <w:rPr>
                <w:b w:val="false"/>
                <w:bCs w:val="false"/>
              </w:rPr>
              <w:t xml:space="preserve">Section 5.1</w:t>
            </w:r>
          </w:p>
        </w:tc>
        <w:tc>
          <w:tcPr>
            <w:vAlign w:val="center"/>
          </w:tcPr>
          <w:p>
            <w:r>
              <w:rPr>
                <w:b w:val="false"/>
                <w:bCs w:val="false"/>
              </w:rPr>
              <w:t xml:space="preserve">Medical Records In-Charge</w:t>
            </w:r>
          </w:p>
        </w:tc>
      </w:tr>
      <w:tr>
        <w:tc>
          <w:tcPr>
            <w:vAlign w:val="center"/>
          </w:tcPr>
          <w:p>
            <w:r>
              <w:rPr>
                <w:b w:val="false"/>
                <w:bCs w:val="false"/>
              </w:rPr>
              <w:t xml:space="preserve">IMS.6.b</w:t>
            </w:r>
          </w:p>
        </w:tc>
        <w:tc>
          <w:tcPr>
            <w:vAlign w:val="center"/>
          </w:tcPr>
          <w:p>
            <w:r>
              <w:rPr>
                <w:b w:val="false"/>
                <w:bCs w:val="false"/>
              </w:rPr>
              <w:t xml:space="preserve">Clinical records retained per requirements</w:t>
            </w:r>
          </w:p>
        </w:tc>
        <w:tc>
          <w:tcPr>
            <w:vAlign w:val="center"/>
          </w:tcPr>
          <w:p>
            <w:r>
              <w:rPr>
                <w:b w:val="false"/>
                <w:bCs w:val="false"/>
              </w:rPr>
              <w:t xml:space="preserve">CORE*</w:t>
            </w:r>
          </w:p>
        </w:tc>
        <w:tc>
          <w:tcPr>
            <w:vAlign w:val="center"/>
          </w:tcPr>
          <w:p>
            <w:r>
              <w:rPr>
                <w:b w:val="false"/>
                <w:bCs w:val="false"/>
              </w:rPr>
              <w:t xml:space="preserve">Section 5.2</w:t>
            </w:r>
          </w:p>
        </w:tc>
        <w:tc>
          <w:tcPr>
            <w:vAlign w:val="center"/>
          </w:tcPr>
          <w:p>
            <w:r>
              <w:rPr>
                <w:b w:val="false"/>
                <w:bCs w:val="false"/>
              </w:rPr>
              <w:t xml:space="preserve">Medical Records In-Charge</w:t>
            </w:r>
          </w:p>
        </w:tc>
      </w:tr>
      <w:tr>
        <w:tc>
          <w:tcPr>
            <w:vAlign w:val="center"/>
          </w:tcPr>
          <w:p>
            <w:r>
              <w:rPr>
                <w:b w:val="false"/>
                <w:bCs w:val="false"/>
              </w:rPr>
              <w:t xml:space="preserve">IMS.6.c</w:t>
            </w:r>
          </w:p>
        </w:tc>
        <w:tc>
          <w:tcPr>
            <w:vAlign w:val="center"/>
          </w:tcPr>
          <w:p>
            <w:r>
              <w:rPr>
                <w:b w:val="false"/>
                <w:bCs w:val="false"/>
              </w:rPr>
              <w:t xml:space="preserve">Retention process confidential and secure</w:t>
            </w:r>
          </w:p>
        </w:tc>
        <w:tc>
          <w:tcPr>
            <w:vAlign w:val="center"/>
          </w:tcPr>
          <w:p>
            <w:r>
              <w:rPr>
                <w:b w:val="false"/>
                <w:bCs w:val="false"/>
              </w:rPr>
              <w:t xml:space="preserve">Commitment</w:t>
            </w:r>
          </w:p>
        </w:tc>
        <w:tc>
          <w:tcPr>
            <w:vAlign w:val="center"/>
          </w:tcPr>
          <w:p>
            <w:r>
              <w:rPr>
                <w:b w:val="false"/>
                <w:bCs w:val="false"/>
              </w:rPr>
              <w:t xml:space="preserve">Section 5.3</w:t>
            </w:r>
          </w:p>
        </w:tc>
        <w:tc>
          <w:tcPr>
            <w:vAlign w:val="center"/>
          </w:tcPr>
          <w:p>
            <w:r>
              <w:rPr>
                <w:b w:val="false"/>
                <w:bCs w:val="false"/>
              </w:rPr>
              <w:t xml:space="preserve">Medical Records In-Charge</w:t>
            </w:r>
          </w:p>
        </w:tc>
      </w:tr>
      <w:tr>
        <w:tc>
          <w:tcPr>
            <w:vAlign w:val="center"/>
          </w:tcPr>
          <w:p>
            <w:r>
              <w:rPr>
                <w:b w:val="false"/>
                <w:bCs w:val="false"/>
              </w:rPr>
              <w:t xml:space="preserve">IMS.6.d</w:t>
            </w:r>
          </w:p>
        </w:tc>
        <w:tc>
          <w:tcPr>
            <w:vAlign w:val="center"/>
          </w:tcPr>
          <w:p>
            <w:r>
              <w:rPr>
                <w:b w:val="false"/>
                <w:bCs w:val="false"/>
              </w:rPr>
              <w:t xml:space="preserve">Destruction per written guidance</w:t>
            </w:r>
          </w:p>
        </w:tc>
        <w:tc>
          <w:tcPr>
            <w:vAlign w:val="center"/>
          </w:tcPr>
          <w:p>
            <w:r>
              <w:rPr>
                <w:b w:val="false"/>
                <w:bCs w:val="false"/>
              </w:rPr>
              <w:t xml:space="preserve">Commitment*</w:t>
            </w:r>
          </w:p>
        </w:tc>
        <w:tc>
          <w:tcPr>
            <w:vAlign w:val="center"/>
          </w:tcPr>
          <w:p>
            <w:r>
              <w:rPr>
                <w:b w:val="false"/>
                <w:bCs w:val="false"/>
              </w:rPr>
              <w:t xml:space="preserve">Section 5.4</w:t>
            </w:r>
          </w:p>
        </w:tc>
        <w:tc>
          <w:tcPr>
            <w:vAlign w:val="center"/>
          </w:tcPr>
          <w:p>
            <w:r>
              <w:rPr>
                <w:b w:val="false"/>
                <w:bCs w:val="false"/>
              </w:rPr>
              <w:t xml:space="preserve">Medical Superintendent</w:t>
            </w:r>
          </w:p>
        </w:tc>
      </w:tr>
    </w:tbl>
    <w:p>
      <w:pPr>
        <w:pStyle w:val="Heading1"/>
        <w:spacing w:after="120" w:before="240"/>
      </w:pPr>
      <w:r>
        <w:t xml:space="preserve">12. Required Records / Evidence Checklist</w:t>
      </w:r>
    </w:p>
    <w:p>
      <w:pPr>
        <w:pStyle w:val="Heading2"/>
        <w:spacing w:after="100" w:before="160"/>
      </w:pPr>
      <w:r>
        <w:t xml:space="preserve">IMS.6.a — Document control.</w:t>
      </w:r>
    </w:p>
    <w:p>
      <w:pPr>
        <w:pStyle w:val="ListParagraph"/>
        <w:numPr>
          <w:ilvl w:val="0"/>
          <w:numId w:val="1"/>
        </w:numPr>
        <w:spacing w:after="100"/>
      </w:pPr>
      <w:r>
        <w:t xml:space="preserve">Document-creation/review/authorisation/release record naming designated individuals.</w:t>
      </w:r>
    </w:p>
    <w:p>
      <w:pPr>
        <w:pStyle w:val="ListParagraph"/>
        <w:numPr>
          <w:ilvl w:val="0"/>
          <w:numId w:val="1"/>
        </w:numPr>
        <w:spacing w:after="100"/>
      </w:pPr>
      <w:r>
        <w:t xml:space="preserve">Planned document-review-schedule record and obsolete-document-removal/archival record.</w:t>
      </w:r>
    </w:p>
    <w:p>
      <w:pPr>
        <w:pStyle w:val="Heading2"/>
        <w:spacing w:after="100" w:before="160"/>
      </w:pPr>
      <w:r>
        <w:t xml:space="preserve">IMS.6.b — Retention of clinical records.</w:t>
      </w:r>
    </w:p>
    <w:p>
      <w:pPr>
        <w:pStyle w:val="ListParagraph"/>
        <w:numPr>
          <w:ilvl w:val="0"/>
          <w:numId w:val="1"/>
        </w:numPr>
        <w:spacing w:after="100"/>
      </w:pPr>
      <w:r>
        <w:t xml:space="preserve">Defined retention-period record per record category (out-patient, in-patient, medico-legal case), referencing National Medical Commission/state authority rules.</w:t>
      </w:r>
    </w:p>
    <w:p>
      <w:pPr>
        <w:pStyle w:val="ListParagraph"/>
        <w:numPr>
          <w:ilvl w:val="0"/>
          <w:numId w:val="1"/>
        </w:numPr>
        <w:spacing w:after="100"/>
      </w:pPr>
      <w:r>
        <w:t xml:space="preserve">Retention-period record for data-capture formats — registers, forms.</w:t>
      </w:r>
    </w:p>
    <w:p>
      <w:pPr>
        <w:pStyle w:val="Heading2"/>
        <w:spacing w:after="100" w:before="160"/>
      </w:pPr>
      <w:r>
        <w:t xml:space="preserve">IMS.6.c — Confidentiality and security of retention.</w:t>
      </w:r>
    </w:p>
    <w:p>
      <w:pPr>
        <w:pStyle w:val="ListParagraph"/>
        <w:numPr>
          <w:ilvl w:val="0"/>
          <w:numId w:val="1"/>
        </w:numPr>
        <w:spacing w:after="100"/>
      </w:pPr>
      <w:r>
        <w:t xml:space="preserve">Retention-area access-control record, manual and electronic.</w:t>
      </w:r>
    </w:p>
    <w:p>
      <w:pPr>
        <w:pStyle w:val="Heading2"/>
        <w:spacing w:after="100" w:before="160"/>
      </w:pPr>
      <w:r>
        <w:t xml:space="preserve">IMS.6.d — Destruction.</w:t>
      </w:r>
    </w:p>
    <w:p>
      <w:pPr>
        <w:pStyle w:val="ListParagraph"/>
        <w:numPr>
          <w:ilvl w:val="0"/>
          <w:numId w:val="1"/>
        </w:numPr>
        <w:spacing w:after="100"/>
      </w:pPr>
      <w:r>
        <w:t xml:space="preserve">Destruction-approval record from the concerned internal/external authority.</w:t>
      </w:r>
    </w:p>
    <w:p>
      <w:pPr>
        <w:pStyle w:val="ListParagraph"/>
        <w:numPr>
          <w:ilvl w:val="0"/>
          <w:numId w:val="1"/>
        </w:numPr>
        <w:spacing w:after="100"/>
      </w:pPr>
      <w:r>
        <w:t xml:space="preserve">Destruction-procedure record following applicable statutory provisions.</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IMS.6, "The organisation ensures availability of current and relevant documents, records, data and information and provide for retention of the same."</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p>
      <w:pPr>
        <w:spacing w:after="160"/>
      </w:pPr>
      <w:r>
        <w:t xml:space="preserve">This policy shall be reviewed at least once every year, or earlier if NABH standards change.</w:t>
      </w:r>
    </w:p>
    <w:p>
      <w:pPr>
        <w:spacing w:after="160"/>
      </w:pPr>
      <w:r>
        <w:t xml:space="preserve">This policy is the property of «Hospital Name» and is not to be reproduced or distributed outside the organisation without written permission.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2026-09-05T10:03:12.588Z</dcterms:created>
  <dcterms:modified xsi:type="dcterms:W3CDTF">2026-09-05T10:03:12.588Z</dcterms:modified>
</cp:coreProperties>
</file>

<file path=docProps/custom.xml><?xml version="1.0" encoding="utf-8"?>
<Properties xmlns="http://schemas.openxmlformats.org/officeDocument/2006/custom-properties" xmlns:vt="http://schemas.openxmlformats.org/officeDocument/2006/docPropsVTypes"/>
</file>