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Definition and Display of Healthcare Services</w:t>
      </w:r>
    </w:p>
    <w:p>
      <w:pPr>
        <w:spacing w:after="300"/>
        <w:jc w:val="center"/>
      </w:pPr>
      <w:r>
        <w:rPr>
          <w:i/>
          <w:iCs/>
          <w:sz w:val="20"/>
          <w:szCs w:val="20"/>
        </w:rPr>
        <w:t xml:space="preserve">(Mandatory System Documentation as per NABH SHCO 3rd Edition — AAC.1.a, AAC.1.b, AAC.1.c, AAC.1.d)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AAC.1.a, AAC.1.b, AAC.1.c, AAC.1.d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AAC.1.a</w:t>
            </w:r>
          </w:p>
        </w:tc>
        <w:tc>
          <w:tcPr>
            <w:tcW w:type="pct" w:w="45%"/>
          </w:tcPr>
          <w:p>
            <w:r>
              <w:rPr>
                <w:b w:val="false"/>
                <w:bCs w:val="false"/>
                <w:sz w:val="18"/>
                <w:szCs w:val="18"/>
              </w:rPr>
              <w:t xml:space="preserve">The healthcare services provided are defined and are in consonance with the needs of the community</w:t>
            </w:r>
          </w:p>
        </w:tc>
        <w:tc>
          <w:tcPr>
            <w:tcW w:type="pct" w:w="20%"/>
          </w:tcPr>
          <w:p>
            <w:r>
              <w:rPr>
                <w:b w:val="false"/>
                <w:bCs w:val="false"/>
                <w:sz w:val="18"/>
                <w:szCs w:val="18"/>
              </w:rPr>
              <w:t xml:space="preserve">Steps 1, 7</w:t>
            </w:r>
          </w:p>
        </w:tc>
        <w:tc>
          <w:tcPr>
            <w:tcW w:type="pct" w:w="20%"/>
          </w:tcPr>
          <w:p>
            <w:r>
              <w:rPr>
                <w:b w:val="false"/>
                <w:bCs w:val="false"/>
                <w:sz w:val="18"/>
                <w:szCs w:val="18"/>
              </w:rPr>
              <w:t xml:space="preserve">Head of the institution approves the directory; the administration maintains it and holds the community needs assessment; quality or accreditation coordinator audits the review cycle</w:t>
            </w:r>
          </w:p>
        </w:tc>
      </w:tr>
      <w:tr>
        <w:tc>
          <w:tcPr>
            <w:tcW w:type="pct" w:w="15%"/>
          </w:tcPr>
          <w:p>
            <w:r>
              <w:rPr>
                <w:b w:val="false"/>
                <w:bCs w:val="false"/>
                <w:sz w:val="18"/>
                <w:szCs w:val="18"/>
              </w:rPr>
              <w:t xml:space="preserve">AAC.1.b</w:t>
            </w:r>
          </w:p>
        </w:tc>
        <w:tc>
          <w:tcPr>
            <w:tcW w:type="pct" w:w="45%"/>
          </w:tcPr>
          <w:p>
            <w:r>
              <w:rPr>
                <w:b w:val="false"/>
                <w:bCs w:val="false"/>
                <w:sz w:val="18"/>
                <w:szCs w:val="18"/>
              </w:rPr>
              <w:t xml:space="preserve">Each defined healthcare service has diagnostic and treatment services with suitably qualified personnel providing out-patient, in-patient and emergency cover</w:t>
            </w:r>
          </w:p>
        </w:tc>
        <w:tc>
          <w:tcPr>
            <w:tcW w:type="pct" w:w="20%"/>
          </w:tcPr>
          <w:p>
            <w:r>
              <w:rPr>
                <w:b w:val="false"/>
                <w:bCs w:val="false"/>
                <w:sz w:val="18"/>
                <w:szCs w:val="18"/>
              </w:rPr>
              <w:t xml:space="preserve">Steps 2, 7</w:t>
            </w:r>
          </w:p>
        </w:tc>
        <w:tc>
          <w:tcPr>
            <w:tcW w:type="pct" w:w="20%"/>
          </w:tcPr>
          <w:p>
            <w:r>
              <w:rPr>
                <w:b w:val="false"/>
                <w:bCs w:val="false"/>
                <w:sz w:val="18"/>
                <w:szCs w:val="18"/>
              </w:rPr>
              <w:t xml:space="preserve">Head of the institution for resourcing; heads of departments for rosters and cover in their service; human resource function for registration and qualification verification</w:t>
            </w:r>
          </w:p>
        </w:tc>
      </w:tr>
      <w:tr>
        <w:tc>
          <w:tcPr>
            <w:tcW w:type="pct" w:w="15%"/>
          </w:tcPr>
          <w:p>
            <w:r>
              <w:rPr>
                <w:b w:val="false"/>
                <w:bCs w:val="false"/>
                <w:sz w:val="18"/>
                <w:szCs w:val="18"/>
              </w:rPr>
              <w:t xml:space="preserve">AAC.1.c</w:t>
            </w:r>
          </w:p>
        </w:tc>
        <w:tc>
          <w:tcPr>
            <w:tcW w:type="pct" w:w="45%"/>
          </w:tcPr>
          <w:p>
            <w:r>
              <w:rPr>
                <w:b w:val="false"/>
                <w:bCs w:val="false"/>
                <w:sz w:val="18"/>
                <w:szCs w:val="18"/>
              </w:rPr>
              <w:t xml:space="preserve">The scope of healthcare services of each department is defined</w:t>
            </w:r>
          </w:p>
        </w:tc>
        <w:tc>
          <w:tcPr>
            <w:tcW w:type="pct" w:w="20%"/>
          </w:tcPr>
          <w:p>
            <w:r>
              <w:rPr>
                <w:b w:val="false"/>
                <w:bCs w:val="false"/>
                <w:sz w:val="18"/>
                <w:szCs w:val="18"/>
              </w:rPr>
              <w:t xml:space="preserve">Steps 3-5, 7</w:t>
            </w:r>
          </w:p>
        </w:tc>
        <w:tc>
          <w:tcPr>
            <w:tcW w:type="pct" w:w="20%"/>
          </w:tcPr>
          <w:p>
            <w:r>
              <w:rPr>
                <w:b w:val="false"/>
                <w:bCs w:val="false"/>
                <w:sz w:val="18"/>
                <w:szCs w:val="18"/>
              </w:rPr>
              <w:t xml:space="preserve">Heads of departments author and keep current the scope of their own department and trigger its review the moment capability changes; head of the institution approves every scope; the administration performs and records the four-way alignment check; reception, front office and emergency hold the set and answer the public from it; quality or accreditation coordinator audits currency at the review interval</w:t>
            </w:r>
          </w:p>
        </w:tc>
      </w:tr>
      <w:tr>
        <w:tc>
          <w:tcPr>
            <w:tcW w:type="pct" w:w="15%"/>
          </w:tcPr>
          <w:p>
            <w:r>
              <w:rPr>
                <w:b w:val="false"/>
                <w:bCs w:val="false"/>
                <w:sz w:val="18"/>
                <w:szCs w:val="18"/>
              </w:rPr>
              <w:t xml:space="preserve">AAC.1.d</w:t>
            </w:r>
          </w:p>
        </w:tc>
        <w:tc>
          <w:tcPr>
            <w:tcW w:type="pct" w:w="45%"/>
          </w:tcPr>
          <w:p>
            <w:r>
              <w:rPr>
                <w:b w:val="false"/>
                <w:bCs w:val="false"/>
                <w:sz w:val="18"/>
                <w:szCs w:val="18"/>
              </w:rPr>
              <w:t xml:space="preserve">The defined healthcare services are prominently displayed</w:t>
            </w:r>
          </w:p>
        </w:tc>
        <w:tc>
          <w:tcPr>
            <w:tcW w:type="pct" w:w="20%"/>
          </w:tcPr>
          <w:p>
            <w:r>
              <w:rPr>
                <w:b w:val="false"/>
                <w:bCs w:val="false"/>
                <w:sz w:val="18"/>
                <w:szCs w:val="18"/>
              </w:rPr>
              <w:t xml:space="preserve">Steps 6, 7</w:t>
            </w:r>
          </w:p>
        </w:tc>
        <w:tc>
          <w:tcPr>
            <w:tcW w:type="pct" w:w="20%"/>
          </w:tcPr>
          <w:p>
            <w:r>
              <w:rPr>
                <w:b w:val="false"/>
                <w:bCs w:val="false"/>
                <w:sz w:val="18"/>
                <w:szCs w:val="18"/>
              </w:rPr>
              <w:t xml:space="preserve">The role named at step 6 maintains every display and corrects it at once on any change; the administration controls the displayed content against the directory; heads of departments report capability changes that the display must follow</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MTP</w:t>
            </w:r>
          </w:p>
        </w:tc>
        <w:tc>
          <w:tcPr>
            <w:tcW w:type="pct" w:w="75%"/>
          </w:tcPr>
          <w:p>
            <w:r>
              <w:rPr>
                <w:b w:val="false"/>
                <w:bCs w:val="false"/>
                <w:sz w:val="18"/>
                <w:szCs w:val="18"/>
              </w:rPr>
              <w:t xml:space="preserve">Medical Termination of Pregnancy</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decides which healthcare services it provides, satisfies itself that each of them can actually be delivered, writes down what every department does and does not do, and tells the public.
A hospital's defined services are the promise on which everything else rests. A patient chooses this hospital, or is brought to it unconscious, on the strength of what it says it can do. Every later decision — whether to register, whether to admit, whether to treat or to stabilise and transfer — leans on a boundary that must already exist in writing before the patient arrives. Where that boundary is undefined, each of those decisions is improvised, and the patient most at risk from the improvisation is the one the hospital was never equipped to care for.
This document therefore governs four things: the written definition of the services of HMP Foundation and its grounding in the needs of the community served; the resourcing behind every defined service; the scope of services of each department, including the boundary of what it does not do; and the display through which the public is told.</w:t>
      </w:r>
    </w:p>
    <w:p>
      <w:pPr>
        <w:pStyle w:val="Heading1"/>
        <w:spacing w:after="150" w:before="300"/>
      </w:pPr>
      <w:r>
        <w:t xml:space="preserve">2. Scope</w:t>
      </w:r>
    </w:p>
    <w:p>
      <w:pPr>
        <w:spacing w:after="150"/>
      </w:pPr>
      <w:r>
        <w:rPr>
          <w:sz w:val="22"/>
          <w:szCs w:val="22"/>
        </w:rPr>
        <w:t xml:space="preserve">This policy applies to the whole of HMP Foundation: every clinical department and specialty, every diagnostic service, and every support function whose availability the defined services depend on. It binds the head of the institution, every head of department, the staff who maintain the service display and other public-facing material, and every member of staff who answers a patient's question about what this hospital does.
It covers the hospital-level definition of services, the department-level scope of services documents, the community-needs basis on which services are chosen, and every medium through which the services are held out to the public — signage, boards, printed material and the hospital's online presence.
Boundaries with other policies of HMP Foundation:
- This policy defines what the hospital does. The registration and admission of an individual patient against that definition — including the decision not to admit a patient whose needs fall outside it — is governed by the registration and admission policy of HMP Foundation.
- The verification of staff qualifications, registrations and credentials is governed by the human resource policies of HMP Foundation. This policy relies on that verification when it requires each defined service to be backed by suitably qualified personnel; it does not restate the method.
- The display of patient rights and responsibilities, of tariffs, and of statutory notices is governed by the patient rights policies of HMP Foundation and by the statutes that require them. This policy owns the display of the services; where the two share a wall, each is maintained under its own document.
- Isolation and infection control signage is governed by the infection control policies of HMP Foundation and has nothing to do with the display governed here.</w:t>
      </w:r>
    </w:p>
    <w:p>
      <w:pPr>
        <w:pStyle w:val="Heading1"/>
        <w:spacing w:after="150" w:before="300"/>
      </w:pPr>
      <w:r>
        <w:t xml:space="preserve">3. Policy Statement</w:t>
      </w:r>
    </w:p>
    <w:p>
      <w:pPr>
        <w:spacing w:after="150"/>
      </w:pPr>
      <w:r>
        <w:rPr>
          <w:sz w:val="22"/>
          <w:szCs w:val="22"/>
        </w:rPr>
        <w:t xml:space="preserve">HMP Foundation defines its healthcare services in writing, approves the definition at the level of the head of the institution, keeps it consistent with the registrations and licences the hospital holds, and grounds it in an assessment of the needs of the community it serves.
HMP Foundation holds out no service it cannot deliver. A service enters the definition only when the personnel, the diagnostics and the treatment capability behind it exist, and it leaves the definition — and the display — when they cease to. The display is treated as a promise to the public, and a promise the hospital cannot keep is removed rather than explained.
HMP Foundation requires every department to carry a written scope of services stating what it does and, with equal precision, what it does not do. The boundary is treated as the safety content of the document: the patients a hospital is not equipped for are protected by the exclusions, not by the list of capabilities.
HMP Foundation displays its defined services prominently, in the languages the community it serves reads, keeps the display identical in substance to the written definition, and corrects it at once when a service is suspended or withdrawn.
HMP Foundation changes its services in a fixed order — resource first, then define, then scope, then display — so that no patient ever acts on a promise that ran ahead of the capability behind it.
HMP Foundation expects every member of staff to know the scope of their own department, and treats directing a patient to another provider, when this hospital cannot care for them, as correct practice and never as lost business.</w:t>
      </w:r>
    </w:p>
    <w:p>
      <w:pPr>
        <w:pStyle w:val="Heading1"/>
        <w:spacing w:after="150" w:before="300"/>
      </w:pPr>
      <w:r>
        <w:t xml:space="preserve">4. Procedure</w:t>
      </w:r>
    </w:p>
    <w:p>
      <w:pPr>
        <w:spacing w:after="90" w:before="240"/>
      </w:pPr>
      <w:r>
        <w:rPr>
          <w:b/>
          <w:bCs/>
          <w:sz w:val="23"/>
          <w:szCs w:val="23"/>
        </w:rPr>
        <w:t xml:space="preserve">1. Defining the healthcare services of HMP Foundation (AAC.1.a)</w:t>
      </w:r>
    </w:p>
    <w:p>
      <w:pPr>
        <w:spacing w:after="120"/>
      </w:pPr>
      <w:r>
        <w:rPr>
          <w:sz w:val="22"/>
          <w:szCs w:val="22"/>
        </w:rPr>
        <w:t xml:space="preserve">HMP Foundation maintains a written definition of the healthcare services it provides — the service directory. The directory lists every clinical specialty and service offered, states for each whether it is available on an out-patient basis, an in-patient basis, an emergency basis, or a combination of these, and names the diagnostic and support services that stand behind them.</w:t>
      </w:r>
    </w:p>
    <w:p>
      <w:pPr>
        <w:spacing w:after="120"/>
      </w:pPr>
      <w:r>
        <w:rPr>
          <w:sz w:val="22"/>
          <w:szCs w:val="22"/>
        </w:rPr>
        <w:t xml:space="preserve">The directory is approved by the head of the institution, is dated and version-controlled, and is consistent with the registrations and licences HMP Foundation holds — a service that the hospital's registration or licence does not permit does not appear in it.</w:t>
      </w:r>
    </w:p>
    <w:p>
      <w:pPr>
        <w:spacing w:after="120"/>
      </w:pPr>
      <w:r>
        <w:rPr>
          <w:sz w:val="22"/>
          <w:szCs w:val="22"/>
        </w:rPr>
        <w:t xml:space="preserve">The services defined are chosen against the needs of the community HMP Foundation serves, and the basis of the choice is recorded rather than assumed: the population of the catchment area, its broad disease profile, the services already available from other providers nearby, and the pattern of demand and referral seen at this hospital. The community needs assessment is held at [Hospital to define — where the community needs assessment is held and when it was last performed], and is revisited when the directory is reviewed.</w:t>
      </w:r>
    </w:p>
    <w:p>
      <w:pPr>
        <w:spacing w:after="120"/>
      </w:pPr>
      <w:r>
        <w:rPr>
          <w:sz w:val="22"/>
          <w:szCs w:val="22"/>
        </w:rPr>
        <w:t xml:space="preserve">The directory is reviewed at [Hospital to define — review interval for the service directory], and immediately upon any service being added, suspended or withdrawn under step 7.</w:t>
      </w:r>
    </w:p>
    <w:p>
      <w:pPr>
        <w:spacing w:after="90" w:before="240"/>
      </w:pPr>
      <w:r>
        <w:rPr>
          <w:b/>
          <w:bCs/>
          <w:sz w:val="23"/>
          <w:szCs w:val="23"/>
        </w:rPr>
        <w:t xml:space="preserve">2. Resourcing every defined service (AAC.1.b)</w:t>
      </w:r>
    </w:p>
    <w:p>
      <w:pPr>
        <w:spacing w:after="120"/>
      </w:pPr>
      <w:r>
        <w:rPr>
          <w:sz w:val="22"/>
          <w:szCs w:val="22"/>
        </w:rPr>
        <w:t xml:space="preserve">A service appears in the directory only when HMP Foundation can deliver it. For each defined healthcare service, the hospital maintains:</w:t>
      </w:r>
    </w:p>
    <w:p>
      <w:pPr>
        <w:pStyle w:val="ListParagraph"/>
        <w:numPr>
          <w:ilvl w:val="0"/>
          <w:numId w:val="1"/>
        </w:numPr>
        <w:spacing w:after="60"/>
      </w:pPr>
      <w:r>
        <w:rPr>
          <w:sz w:val="22"/>
          <w:szCs w:val="22"/>
        </w:rPr>
        <w:t xml:space="preserve">the diagnostic and treatment services the specialty requires, either within the hospital or under a documented arrangement the directory identifies;</w:t>
      </w:r>
    </w:p>
    <w:p>
      <w:pPr>
        <w:pStyle w:val="ListParagraph"/>
        <w:numPr>
          <w:ilvl w:val="0"/>
          <w:numId w:val="1"/>
        </w:numPr>
        <w:spacing w:after="60"/>
      </w:pPr>
      <w:r>
        <w:rPr>
          <w:sz w:val="22"/>
          <w:szCs w:val="22"/>
        </w:rPr>
        <w:t xml:space="preserve">suitably qualified personnel — practitioners registered with the professional council governing their practice and holding the qualifications the role requires, verified under the human resource procedures of HMP Foundation;</w:t>
      </w:r>
    </w:p>
    <w:p>
      <w:pPr>
        <w:pStyle w:val="ListParagraph"/>
        <w:numPr>
          <w:ilvl w:val="0"/>
          <w:numId w:val="1"/>
        </w:numPr>
        <w:spacing w:after="60"/>
      </w:pPr>
      <w:r>
        <w:rPr>
          <w:sz w:val="22"/>
          <w:szCs w:val="22"/>
        </w:rPr>
        <w:t xml:space="preserve">out-patient consultation, in-patient care and emergency cover for the service, with the emergency arrangement stated in writing: resident cover, or an on-call roster with the expected response arrangement.</w:t>
      </w:r>
    </w:p>
    <w:p>
      <w:pPr>
        <w:spacing w:after="120"/>
      </w:pPr>
      <w:r>
        <w:rPr>
          <w:sz w:val="22"/>
          <w:szCs w:val="22"/>
        </w:rPr>
        <w:t xml:space="preserve">Where a clinician providing a service is visiting rather than full-time, the directory says so, and the arrangement for that service outside the visiting hours is stated. Where HMP Foundation intends a narrower offering — a specialty seen on an out-patient basis only, for example — the service is not held out as a full service: the directory and the display state the limitation, and the department's scope of services records where patients needing more than the hospital provides are referred.</w:t>
      </w:r>
    </w:p>
    <w:p>
      <w:pPr>
        <w:spacing w:after="120"/>
      </w:pPr>
      <w:r>
        <w:rPr>
          <w:sz w:val="22"/>
          <w:szCs w:val="22"/>
        </w:rPr>
        <w:t xml:space="preserve">The resourcing behind each service is confirmed at every review of the directory, against the current staffing and equipment rather than against what was true when the service was introduced.</w:t>
      </w:r>
    </w:p>
    <w:p>
      <w:pPr>
        <w:spacing w:after="90" w:before="240"/>
      </w:pPr>
      <w:r>
        <w:rPr>
          <w:b/>
          <w:bCs/>
          <w:sz w:val="23"/>
          <w:szCs w:val="23"/>
        </w:rPr>
        <w:t xml:space="preserve">3. The scope of services of each department — what it states (AAC.1.c)</w:t>
      </w:r>
    </w:p>
    <w:p>
      <w:pPr>
        <w:spacing w:after="120"/>
      </w:pPr>
      <w:r>
        <w:rPr>
          <w:sz w:val="22"/>
          <w:szCs w:val="22"/>
        </w:rPr>
        <w:t xml:space="preserve">Every department of HMP Foundation, clinical and diagnostic alike, holds a written scope of services. This is the documented-evidence anchor of this standard — the document an assessor will ask for by name — and it is written so that a member of staff can act on it at the moment a question arises, not merely file it.</w:t>
      </w:r>
    </w:p>
    <w:p>
      <w:pPr>
        <w:spacing w:after="120"/>
      </w:pPr>
      <w:r>
        <w:rPr>
          <w:sz w:val="22"/>
          <w:szCs w:val="22"/>
        </w:rPr>
        <w:t xml:space="preserve">Each department's scope states:</w:t>
      </w:r>
    </w:p>
    <w:p>
      <w:pPr>
        <w:pStyle w:val="ListParagraph"/>
        <w:numPr>
          <w:ilvl w:val="0"/>
          <w:numId w:val="1"/>
        </w:numPr>
        <w:spacing w:after="60"/>
      </w:pPr>
      <w:r>
        <w:rPr>
          <w:sz w:val="22"/>
          <w:szCs w:val="22"/>
        </w:rPr>
        <w:t xml:space="preserve">the services and procedures the department performs;</w:t>
      </w:r>
    </w:p>
    <w:p>
      <w:pPr>
        <w:pStyle w:val="ListParagraph"/>
        <w:numPr>
          <w:ilvl w:val="0"/>
          <w:numId w:val="1"/>
        </w:numPr>
        <w:spacing w:after="60"/>
      </w:pPr>
      <w:r>
        <w:rPr>
          <w:sz w:val="22"/>
          <w:szCs w:val="22"/>
        </w:rPr>
        <w:t xml:space="preserve">the patient populations it accepts — the age groups it takes, and any category of patient it does not;</w:t>
      </w:r>
    </w:p>
    <w:p>
      <w:pPr>
        <w:pStyle w:val="ListParagraph"/>
        <w:numPr>
          <w:ilvl w:val="0"/>
          <w:numId w:val="1"/>
        </w:numPr>
        <w:spacing w:after="60"/>
      </w:pPr>
      <w:r>
        <w:rPr>
          <w:sz w:val="22"/>
          <w:szCs w:val="22"/>
        </w:rPr>
        <w:t xml:space="preserve">the level of acuity it can manage, and the point beyond which a patient's needs exceed it;</w:t>
      </w:r>
    </w:p>
    <w:p>
      <w:pPr>
        <w:pStyle w:val="ListParagraph"/>
        <w:numPr>
          <w:ilvl w:val="0"/>
          <w:numId w:val="1"/>
        </w:numPr>
        <w:spacing w:after="60"/>
      </w:pPr>
      <w:r>
        <w:rPr>
          <w:sz w:val="22"/>
          <w:szCs w:val="22"/>
        </w:rPr>
        <w:t xml:space="preserve">the hours during which each of its services is available, and the arrangement outside those hours — resident cover, on-call cover with the expected response, or not available;</w:t>
      </w:r>
    </w:p>
    <w:p>
      <w:pPr>
        <w:pStyle w:val="ListParagraph"/>
        <w:numPr>
          <w:ilvl w:val="0"/>
          <w:numId w:val="1"/>
        </w:numPr>
        <w:spacing w:after="60"/>
      </w:pPr>
      <w:r>
        <w:rPr>
          <w:sz w:val="22"/>
          <w:szCs w:val="22"/>
        </w:rPr>
        <w:t xml:space="preserve">the services the department depends on to do its work — anaesthesia, laboratory, imaging, blood — and where each dependency is met from, so that the scope fails visibly if a dependency disappears;</w:t>
      </w:r>
    </w:p>
    <w:p>
      <w:pPr>
        <w:pStyle w:val="ListParagraph"/>
        <w:numPr>
          <w:ilvl w:val="0"/>
          <w:numId w:val="1"/>
        </w:numPr>
        <w:spacing w:after="60"/>
      </w:pPr>
      <w:r>
        <w:rPr>
          <w:sz w:val="22"/>
          <w:szCs w:val="22"/>
        </w:rPr>
        <w:t xml:space="preserve">the conditions the department stabilises and refers rather than treats, and where it refers them;</w:t>
      </w:r>
    </w:p>
    <w:p>
      <w:pPr>
        <w:pStyle w:val="ListParagraph"/>
        <w:numPr>
          <w:ilvl w:val="0"/>
          <w:numId w:val="1"/>
        </w:numPr>
        <w:spacing w:after="60"/>
      </w:pPr>
      <w:r>
        <w:rPr>
          <w:sz w:val="22"/>
          <w:szCs w:val="22"/>
        </w:rPr>
        <w:t xml:space="preserve">the person in charge of the department.</w:t>
      </w:r>
    </w:p>
    <w:p>
      <w:pPr>
        <w:spacing w:after="120"/>
      </w:pPr>
      <w:r>
        <w:rPr>
          <w:sz w:val="22"/>
          <w:szCs w:val="22"/>
        </w:rPr>
        <w:t xml:space="preserve">Each element is there because a decision leans on it. The populations and acuity limits are what the duty doctor consults when deciding whether the department can accept the patient in front of them. The hours and out-of-hours arrangement are what reception consults before telling a caller to come in. The dependency list is what makes a scope honest: a surgical service is only as available as its anaesthesia cover, and a scope that claims the service without naming the dependency claims more than the department controls. The stabilise-and-refer list is what turns a refusal into a plan.</w:t>
      </w:r>
    </w:p>
    <w:p>
      <w:pPr>
        <w:spacing w:after="120"/>
      </w:pPr>
      <w:r>
        <w:rPr>
          <w:sz w:val="22"/>
          <w:szCs w:val="22"/>
        </w:rPr>
        <w:t xml:space="preserve">The commonest defect in this document is genericness — a scope copied between departments, or downloaded, that describes a department the hospital does not have. The test applied at HMP Foundation is specificity: a reader who knows the hospital should be able to tell from the scope alone which department it describes, and a reader who knows the department should find nothing in the scope it does not actually do. Each department's scope is held at [Hospital to define — where each department's scope of services is held and how the set is indexed].</w:t>
      </w:r>
    </w:p>
    <w:p>
      <w:pPr>
        <w:spacing w:after="90" w:before="240"/>
      </w:pPr>
      <w:r>
        <w:rPr>
          <w:b/>
          <w:bCs/>
          <w:sz w:val="23"/>
          <w:szCs w:val="23"/>
        </w:rPr>
        <w:t xml:space="preserve">4. The scope of services — the boundary matters more than the list (AAC.1.c)</w:t>
      </w:r>
    </w:p>
    <w:p>
      <w:pPr>
        <w:spacing w:after="120"/>
      </w:pPr>
      <w:r>
        <w:rPr>
          <w:sz w:val="22"/>
          <w:szCs w:val="22"/>
        </w:rPr>
        <w:t xml:space="preserve">The safety content of a scope of services is its negative half. A hospital is rarely harmed by declining a patient it could in fact have treated; it is harmed — and the patient is harmed — by accepting one it could not. The exclusions are therefore written with the same precision as the capabilities, and vagueness in an exclusion is treated as a defect in the document, because an exclusion that can be read two ways will be read the convenient way under pressure.</w:t>
      </w:r>
    </w:p>
    <w:p>
      <w:pPr>
        <w:spacing w:after="120"/>
      </w:pPr>
      <w:r>
        <w:rPr>
          <w:sz w:val="22"/>
          <w:szCs w:val="22"/>
        </w:rPr>
        <w:t xml:space="preserve">Exclusions are specific: the procedures the department does not perform, the ages below or above which it does not accept a patient, the conditions it does not manage beyond stabilisation, and the situations in which a patient is transferred out rather than admitted. For each exclusion that a patient may nonetheless present with, the scope names the response — stabilise and refer, and to where — so that the boundary always points somewhere rather than ending in a refusal.</w:t>
      </w:r>
    </w:p>
    <w:p>
      <w:pPr>
        <w:spacing w:after="120"/>
      </w:pPr>
      <w:r>
        <w:rPr>
          <w:sz w:val="22"/>
          <w:szCs w:val="22"/>
        </w:rPr>
        <w:t xml:space="preserve">The boundary is what the hospital's admission and emergency decisions lean on. The person deciding at the door whether HMP Foundation can care for a patient does not weigh the question from first principles at that moment; they apply a boundary that was set in advance, in writing, when there was time to set it honestly. That is the reason this document exists at department level rather than only hospital level: the boundary of a hospital is the sum of the boundaries of its departments, and a hospital-level list cannot say which department's limit a given patient is about to cross.</w:t>
      </w:r>
    </w:p>
    <w:p>
      <w:pPr>
        <w:spacing w:after="120"/>
      </w:pPr>
      <w:r>
        <w:rPr>
          <w:sz w:val="22"/>
          <w:szCs w:val="22"/>
        </w:rPr>
        <w:t xml:space="preserve">When a department's real capability moves — a specialist leaves, a machine fails, a dependency named in the scope becomes unavailable — the boundary has moved with it whether or not the paper is updated, and the paper is updated so that staff are applying the real boundary and not last year's. The route for that update is step 7, and the department head's duty to trigger it is stated there.</w:t>
      </w:r>
    </w:p>
    <w:p>
      <w:pPr>
        <w:spacing w:after="90" w:before="240"/>
      </w:pPr>
      <w:r>
        <w:rPr>
          <w:b/>
          <w:bCs/>
          <w:sz w:val="23"/>
          <w:szCs w:val="23"/>
        </w:rPr>
        <w:t xml:space="preserve">5. The scope of services — approval, alignment, review and communication (AAC.1.c)</w:t>
      </w:r>
    </w:p>
    <w:p>
      <w:pPr>
        <w:spacing w:after="120"/>
      </w:pPr>
      <w:r>
        <w:rPr>
          <w:sz w:val="22"/>
          <w:szCs w:val="22"/>
        </w:rPr>
        <w:t xml:space="preserve">Authorship and approval. Each scope of services is authored by the head of the department it describes, because only the department knows its real boundary, and is approved by the head of the institution, because the scope commits hospital resources beyond the department — the dependencies at step 3 belong to other departments. Each scope is dated, version-controlled, and signed by both.</w:t>
      </w:r>
    </w:p>
    <w:p>
      <w:pPr>
        <w:spacing w:after="120"/>
      </w:pPr>
      <w:r>
        <w:rPr>
          <w:sz w:val="22"/>
          <w:szCs w:val="22"/>
        </w:rPr>
        <w:t xml:space="preserve">Alignment — the four-way check. A scope of services is one of four statements of the same facts, and the four are checked against each other rather than trusted separately:</w:t>
      </w:r>
    </w:p>
    <w:p>
      <w:pPr>
        <w:pStyle w:val="ListParagraph"/>
        <w:numPr>
          <w:ilvl w:val="0"/>
          <w:numId w:val="1"/>
        </w:numPr>
        <w:spacing w:after="60"/>
      </w:pPr>
      <w:r>
        <w:rPr>
          <w:sz w:val="22"/>
          <w:szCs w:val="22"/>
        </w:rPr>
        <w:t xml:space="preserve">the service directory against the department scopes — every service in the directory maps to at least one department's scope, and nothing claimed in a scope is missing from the directory;</w:t>
      </w:r>
    </w:p>
    <w:p>
      <w:pPr>
        <w:pStyle w:val="ListParagraph"/>
        <w:numPr>
          <w:ilvl w:val="0"/>
          <w:numId w:val="1"/>
        </w:numPr>
        <w:spacing w:after="60"/>
      </w:pPr>
      <w:r>
        <w:rPr>
          <w:sz w:val="22"/>
          <w:szCs w:val="22"/>
        </w:rPr>
        <w:t xml:space="preserve">the scopes against the registrations and licences of HMP Foundation — nothing in any scope exceeds what the hospital is registered or licensed to do;</w:t>
      </w:r>
    </w:p>
    <w:p>
      <w:pPr>
        <w:pStyle w:val="ListParagraph"/>
        <w:numPr>
          <w:ilvl w:val="0"/>
          <w:numId w:val="1"/>
        </w:numPr>
        <w:spacing w:after="60"/>
      </w:pPr>
      <w:r>
        <w:rPr>
          <w:sz w:val="22"/>
          <w:szCs w:val="22"/>
        </w:rPr>
        <w:t xml:space="preserve">the scopes against reality — the personnel, equipment and dependencies each scope relies on exist today, not merely at the date of writing;</w:t>
      </w:r>
    </w:p>
    <w:p>
      <w:pPr>
        <w:pStyle w:val="ListParagraph"/>
        <w:numPr>
          <w:ilvl w:val="0"/>
          <w:numId w:val="1"/>
        </w:numPr>
        <w:spacing w:after="60"/>
      </w:pPr>
      <w:r>
        <w:rPr>
          <w:sz w:val="22"/>
          <w:szCs w:val="22"/>
        </w:rPr>
        <w:t xml:space="preserve">the scopes against the display at step 6 — the public is being told what the scopes say, no more and no less.</w:t>
      </w:r>
    </w:p>
    <w:p>
      <w:pPr>
        <w:spacing w:after="120"/>
      </w:pPr>
      <w:r>
        <w:rPr>
          <w:sz w:val="22"/>
          <w:szCs w:val="22"/>
        </w:rPr>
        <w:t xml:space="preserve">The check is performed at every review, and whenever any one of the four changes. A mismatch found is corrected in whichever document is wrong, and the correction is recorded. The reason the check is structured this way: each of the four documents is maintained by different hands at different times, and unchecked they drift apart — the display is the slowest to change and the licences the easiest to forget, and an assessor reading all four will find a divergence the hospital has stopped seeing.</w:t>
      </w:r>
    </w:p>
    <w:p>
      <w:pPr>
        <w:spacing w:after="120"/>
      </w:pPr>
      <w:r>
        <w:rPr>
          <w:sz w:val="22"/>
          <w:szCs w:val="22"/>
        </w:rPr>
        <w:t xml:space="preserve">Review. Each scope is reviewed at [Hospital to define — review interval for department scopes of services], and immediately on any trigger event: a new service or procedure introduced, the arrival or departure of a specialist the scope depends on, equipment commissioned or withdrawn, a change to a registration or licence, or a change to any dependency named in the scope. The department head owns the trigger — the review does not wait for the calendar when the facts have already changed.</w:t>
      </w:r>
    </w:p>
    <w:p>
      <w:pPr>
        <w:spacing w:after="120"/>
      </w:pPr>
      <w:r>
        <w:rPr>
          <w:sz w:val="22"/>
          <w:szCs w:val="22"/>
        </w:rPr>
        <w:t xml:space="preserve">Communication. A scope that staff have not read protects no one. Each department's staff receive its scope at induction to the department; the current scope is available within the department; and reception, the front office and the emergency area hold the full set or a consolidated summary of all department scopes, because those are the points where a patient's first question — can this hospital treat this? — actually lands, and the person answering must answer from the document rather than from impression.</w:t>
      </w:r>
    </w:p>
    <w:p>
      <w:pPr>
        <w:spacing w:after="90" w:before="240"/>
      </w:pPr>
      <w:r>
        <w:rPr>
          <w:b/>
          <w:bCs/>
          <w:sz w:val="23"/>
          <w:szCs w:val="23"/>
        </w:rPr>
        <w:t xml:space="preserve">6. Displaying the services (AAC.1.d)</w:t>
      </w:r>
    </w:p>
    <w:p>
      <w:pPr>
        <w:spacing w:after="120"/>
      </w:pPr>
      <w:r>
        <w:rPr>
          <w:sz w:val="22"/>
          <w:szCs w:val="22"/>
        </w:rPr>
        <w:t xml:space="preserve">The defined healthcare services of HMP Foundation are prominently displayed, so that a patient, a family or a referring practitioner can learn what this hospital does without having to ask.</w:t>
      </w:r>
    </w:p>
    <w:p>
      <w:pPr>
        <w:spacing w:after="120"/>
      </w:pPr>
      <w:r>
        <w:rPr>
          <w:sz w:val="22"/>
          <w:szCs w:val="22"/>
        </w:rPr>
        <w:t xml:space="preserve">The display is provided at minimum at the main entrance, at reception, and at the emergency entrance, and at [Hospital to define — any further display locations]. It is in the languages the community served reads — [Hospital to define — the languages of the display] — and is legible, maintained and lit.</w:t>
      </w:r>
    </w:p>
    <w:p>
      <w:pPr>
        <w:spacing w:after="120"/>
      </w:pPr>
      <w:r>
        <w:rPr>
          <w:sz w:val="22"/>
          <w:szCs w:val="22"/>
        </w:rPr>
        <w:t xml:space="preserve">The display states the services provided, the basis on which each is available — out-patient, in-patient, emergency — and identifies the services available round the clock. Where the hospital's printed material and online presence describe the services, they carry the same content as the display and are corrected on the same trigger.</w:t>
      </w:r>
    </w:p>
    <w:p>
      <w:pPr>
        <w:spacing w:after="120"/>
      </w:pPr>
      <w:r>
        <w:rPr>
          <w:sz w:val="22"/>
          <w:szCs w:val="22"/>
        </w:rPr>
        <w:t xml:space="preserve">The display matches the service directory exactly in substance: no service is displayed that is not defined and resourced, and no defined service is omitted. A displayed service the hospital cannot deliver is not a signage error; it is a promise the next patient will act on, and under the Consumer Protection Act a misleading representation of services besides.</w:t>
      </w:r>
    </w:p>
    <w:p>
      <w:pPr>
        <w:spacing w:after="120"/>
      </w:pPr>
      <w:r>
        <w:rPr>
          <w:sz w:val="22"/>
          <w:szCs w:val="22"/>
        </w:rPr>
        <w:t xml:space="preserve">Statutory display obligations that attach to particular services — the registration certificate and signage required where ultrasonography is performed, the display of registration and of rates where the clinical establishments legislation in force requires them — are honoured where they apply. They are governed by the statutes themselves and by the patient rights policies of HMP Foundation; they are noted here because they share the display space and are checked at the same time.</w:t>
      </w:r>
    </w:p>
    <w:p>
      <w:pPr>
        <w:spacing w:after="120"/>
      </w:pPr>
      <w:r>
        <w:rPr>
          <w:sz w:val="22"/>
          <w:szCs w:val="22"/>
        </w:rPr>
        <w:t xml:space="preserve">Responsibility for keeping every display current sits with [Hospital to define — the role responsible for the display], who corrects it within the timescale at step 7 whenever the directory changes.</w:t>
      </w:r>
    </w:p>
    <w:p>
      <w:pPr>
        <w:spacing w:after="90" w:before="240"/>
      </w:pPr>
      <w:r>
        <w:rPr>
          <w:b/>
          <w:bCs/>
          <w:sz w:val="23"/>
          <w:szCs w:val="23"/>
        </w:rPr>
        <w:t xml:space="preserve">7. Changing the services — the order of operations (AAC.1.a, AAC.1.b, AAC.1.c, AAC.1.d)</w:t>
      </w:r>
    </w:p>
    <w:p>
      <w:pPr>
        <w:spacing w:after="120"/>
      </w:pPr>
      <w:r>
        <w:rPr>
          <w:sz w:val="22"/>
          <w:szCs w:val="22"/>
        </w:rPr>
        <w:t xml:space="preserve">A service is added in this order: resourced first, then entered in the service directory, then written into the owning department's scope, then displayed. The display is last deliberately — it is the promise, and the promise is made only after everything behind it exists.</w:t>
      </w:r>
    </w:p>
    <w:p>
      <w:pPr>
        <w:spacing w:after="120"/>
      </w:pPr>
      <w:r>
        <w:rPr>
          <w:sz w:val="22"/>
          <w:szCs w:val="22"/>
        </w:rPr>
        <w:t xml:space="preserve">A service is suspended or withdrawn in the reverse emphasis: the display, the online presence, reception and the emergency area are corrected and informed first and at once, because from the moment the capability is gone every minute of continued display is a false statement to the public; the directory and the scope are updated with the change and the referral arrangement for patients who need the service; and the community needs record at step 1 is annotated if the withdrawal is permanent.</w:t>
      </w:r>
    </w:p>
    <w:p>
      <w:pPr>
        <w:spacing w:after="120"/>
      </w:pPr>
      <w:r>
        <w:rPr>
          <w:sz w:val="22"/>
          <w:szCs w:val="22"/>
        </w:rPr>
        <w:t xml:space="preserve">A temporary suspension — a specialist on leave without cover, equipment awaiting repair — follows the same route with a stated expected duration, and is reviewed if it exceeds it. Staff at the points of first contact are told what to say and where patients are being referred meanwhile.</w:t>
      </w:r>
    </w:p>
    <w:p>
      <w:pPr>
        <w:spacing w:after="120"/>
      </w:pPr>
      <w:r>
        <w:rPr>
          <w:sz w:val="22"/>
          <w:szCs w:val="22"/>
        </w:rPr>
        <w:t xml:space="preserve">Every change, temporary or permanent, updates all four aligned documents at step 5 or records why one is unaffected. The change and its date are recorded, and the head of the institution is informed of every suspension and withdrawal.</w:t>
      </w:r>
    </w:p>
    <w:p>
      <w:pPr>
        <w:pStyle w:val="Heading1"/>
        <w:spacing w:after="150" w:before="300"/>
      </w:pPr>
      <w:r>
        <w:t xml:space="preserve">5. Responsibility</w:t>
      </w:r>
    </w:p>
    <w:p>
      <w:pPr>
        <w:spacing w:after="150"/>
      </w:pPr>
      <w:r>
        <w:rPr>
          <w:sz w:val="22"/>
          <w:szCs w:val="22"/>
        </w:rPr>
        <w:t xml:space="preserve">The head of the institution approves the service directory and every department scope of services, provides the personnel, equipment and arrangements that resourcing a defined service requires, is informed of every suspension and withdrawal, and is accountable for HMP Foundation holding out no service it cannot deliver.
Heads of departments author the scope of services of their own department, keep it true — including triggering the review at step 5 the moment the department's real capability changes rather than waiting for the calendar — communicate it to their staff, and answer for the boundary being applied in their department's daily decisions.
The person responsible for administration of HMP Foundation maintains the service directory, performs the four-way alignment check at step 5 and records its result, coordinates the change sequence at step 7, and holds the community needs assessment.
The human resource function verifies the registration and qualifications of the personnel behind every defined service under its own procedures, and informs the administration when a departure or lapse affects a defined service.
The role named at step 6 maintains every display and the public-facing material, and corrects them at once on any change to the directory.
Reception, the front office and the emergency area hold the current set of department scopes or the consolidated summary, and answer the public from it.
The quality or accreditation coordinator audits the currency of the directory, the scopes and the display against each other at the review interval, and reports findings to the head of the institution.
All staff are expected to know the scope of their own department, to direct a patient whose needs fall outside it along the referral route the scope names, and to report a display or directory statement they know to be no longer true.</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AAC.1.
- Clinical Establishments (Registration and Regulation) Act, 2010 and the rules under it, where adopted by the State — registration of the establishment, minimum standards, and the display of registration and of rates; or the corresponding State clinical establishments or nursing home registration law where the 2010 Act is not in force.
- The professional registration statutes behind "suitably qualified personnel": the National Medical Commission Act, 2019 and State Medical Council registration; the Indian Nursing Council Act, 1947 and State Nursing Council registration; and the corresponding councils for the other professions HMP Foundation employs.
- Consumer Protection Act, 2019 — the prohibition of misleading advertisement, which is what a displayed service the hospital cannot deliver amounts to.
- Statutes attaching registration, licensing or display conditions to specific services, applicable where HMP Foundation provides the service concerned: the Pre-Conception and Pre-Natal Diagnostic Techniques (Prohibition of Sex Selection) Act, 1994 for ultrasonography; Atomic Energy Regulatory Board licensing for diagnostic radiology; the Drugs and Cosmetics Act, 1940 for a blood centre or pharmacy; the Medical Termination of Pregnancy Act, 1971; and the Transplantation of Human Organs and Tissues Act, 1994.
- Internal documents of HMP Foundation: the registration and licence portfolio; the service directory and the department scope of services set maintained under this policy; the community needs assessment; the registration and admission policy; the human resource qualification verification records; and the patient rights display materials.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head of department, clinical and diagnostic; reception and the front office; the emergency area; nursing administration; the human resource function; the role responsible for the display and public-facing material; and whoever maintains the hospital's online presence.
The current version is available to all staff at [Hospital to define — intranet location or nursing station folder]. The service directory and the department scope of services set — the working documents this policy requires — are held additionally at reception, the front office and the emergency area, where the public's questions arrive.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AAC.1.a — The healthcare services provided are defined and are in consonance with the needs of the community</w:t>
      </w:r>
    </w:p>
    <w:p>
      <w:pPr>
        <w:pStyle w:val="ListParagraph"/>
        <w:numPr>
          <w:ilvl w:val="0"/>
          <w:numId w:val="1"/>
        </w:numPr>
        <w:spacing w:after="60"/>
      </w:pPr>
      <w:r>
        <w:rPr>
          <w:sz w:val="22"/>
          <w:szCs w:val="22"/>
        </w:rPr>
        <w:t xml:space="preserve">The service directory of HMP Foundation, approved by the head of the institution, dated and version-controlled, listing every service with its out-patient, in-patient and emergency availability</w:t>
      </w:r>
    </w:p>
    <w:p>
      <w:pPr>
        <w:pStyle w:val="ListParagraph"/>
        <w:numPr>
          <w:ilvl w:val="0"/>
          <w:numId w:val="1"/>
        </w:numPr>
        <w:spacing w:after="60"/>
      </w:pPr>
      <w:r>
        <w:rPr>
          <w:sz w:val="22"/>
          <w:szCs w:val="22"/>
        </w:rPr>
        <w:t xml:space="preserve">the community needs assessment with its date and the catchment, disease-profile, other-provider and demand information it relied on</w:t>
      </w:r>
    </w:p>
    <w:p>
      <w:pPr>
        <w:pStyle w:val="ListParagraph"/>
        <w:numPr>
          <w:ilvl w:val="0"/>
          <w:numId w:val="1"/>
        </w:numPr>
        <w:spacing w:after="60"/>
      </w:pPr>
      <w:r>
        <w:rPr>
          <w:sz w:val="22"/>
          <w:szCs w:val="22"/>
        </w:rPr>
        <w:t xml:space="preserve">the record of directory reviews at the stated interval and on every change</w:t>
      </w:r>
    </w:p>
    <w:p>
      <w:pPr>
        <w:pStyle w:val="ListParagraph"/>
        <w:numPr>
          <w:ilvl w:val="0"/>
          <w:numId w:val="1"/>
        </w:numPr>
        <w:spacing w:after="60"/>
      </w:pPr>
      <w:r>
        <w:rPr>
          <w:sz w:val="22"/>
          <w:szCs w:val="22"/>
        </w:rPr>
        <w:t xml:space="preserve">evidence of consistency between the directory and the hospital's registrations and licences</w:t>
      </w:r>
    </w:p>
    <w:p>
      <w:pPr>
        <w:spacing w:after="90" w:before="200"/>
      </w:pPr>
      <w:r>
        <w:rPr>
          <w:b/>
          <w:bCs/>
          <w:sz w:val="22"/>
          <w:szCs w:val="22"/>
        </w:rPr>
        <w:t xml:space="preserve">AAC.1.b — Each defined healthcare service has diagnostic and treatment services with suitably qualified personnel providing out-patient, in-patient and emergency cover</w:t>
      </w:r>
    </w:p>
    <w:p>
      <w:pPr>
        <w:pStyle w:val="ListParagraph"/>
        <w:numPr>
          <w:ilvl w:val="0"/>
          <w:numId w:val="1"/>
        </w:numPr>
        <w:spacing w:after="60"/>
      </w:pPr>
      <w:r>
        <w:rPr>
          <w:sz w:val="22"/>
          <w:szCs w:val="22"/>
        </w:rPr>
        <w:t xml:space="preserve">Per defined service, the personnel behind it with their professional council registrations and qualification verification under the human resource procedures</w:t>
      </w:r>
    </w:p>
    <w:p>
      <w:pPr>
        <w:pStyle w:val="ListParagraph"/>
        <w:numPr>
          <w:ilvl w:val="0"/>
          <w:numId w:val="1"/>
        </w:numPr>
        <w:spacing w:after="60"/>
      </w:pPr>
      <w:r>
        <w:rPr>
          <w:sz w:val="22"/>
          <w:szCs w:val="22"/>
        </w:rPr>
        <w:t xml:space="preserve">the diagnostic and treatment arrangement for each service, in-house or documented external</w:t>
      </w:r>
    </w:p>
    <w:p>
      <w:pPr>
        <w:pStyle w:val="ListParagraph"/>
        <w:numPr>
          <w:ilvl w:val="0"/>
          <w:numId w:val="1"/>
        </w:numPr>
        <w:spacing w:after="60"/>
      </w:pPr>
      <w:r>
        <w:rPr>
          <w:sz w:val="22"/>
          <w:szCs w:val="22"/>
        </w:rPr>
        <w:t xml:space="preserve">the written emergency cover arrangement per service — resident cover or the on-call roster with its response arrangement</w:t>
      </w:r>
    </w:p>
    <w:p>
      <w:pPr>
        <w:pStyle w:val="ListParagraph"/>
        <w:numPr>
          <w:ilvl w:val="0"/>
          <w:numId w:val="1"/>
        </w:numPr>
        <w:spacing w:after="60"/>
      </w:pPr>
      <w:r>
        <w:rPr>
          <w:sz w:val="22"/>
          <w:szCs w:val="22"/>
        </w:rPr>
        <w:t xml:space="preserve">visiting-consultant terms and the stated arrangement outside visiting hours</w:t>
      </w:r>
    </w:p>
    <w:p>
      <w:pPr>
        <w:pStyle w:val="ListParagraph"/>
        <w:numPr>
          <w:ilvl w:val="0"/>
          <w:numId w:val="1"/>
        </w:numPr>
        <w:spacing w:after="60"/>
      </w:pPr>
      <w:r>
        <w:rPr>
          <w:sz w:val="22"/>
          <w:szCs w:val="22"/>
        </w:rPr>
        <w:t xml:space="preserve">the recorded limitation and referral route for any service offered on a narrower basis</w:t>
      </w:r>
    </w:p>
    <w:p>
      <w:pPr>
        <w:pStyle w:val="ListParagraph"/>
        <w:numPr>
          <w:ilvl w:val="0"/>
          <w:numId w:val="1"/>
        </w:numPr>
        <w:spacing w:after="60"/>
      </w:pPr>
      <w:r>
        <w:rPr>
          <w:sz w:val="22"/>
          <w:szCs w:val="22"/>
        </w:rPr>
        <w:t xml:space="preserve">the resourcing confirmation made at each directory review</w:t>
      </w:r>
    </w:p>
    <w:p>
      <w:pPr>
        <w:spacing w:after="90" w:before="200"/>
      </w:pPr>
      <w:r>
        <w:rPr>
          <w:b/>
          <w:bCs/>
          <w:sz w:val="22"/>
          <w:szCs w:val="22"/>
        </w:rPr>
        <w:t xml:space="preserve">AAC.1.c — The scope of healthcare services of each department is defined</w:t>
      </w:r>
    </w:p>
    <w:p>
      <w:pPr>
        <w:pStyle w:val="ListParagraph"/>
        <w:numPr>
          <w:ilvl w:val="0"/>
          <w:numId w:val="1"/>
        </w:numPr>
        <w:spacing w:after="60"/>
      </w:pPr>
      <w:r>
        <w:rPr>
          <w:sz w:val="22"/>
          <w:szCs w:val="22"/>
        </w:rPr>
        <w:t xml:space="preserve">The written scope of services of every department, clinical and diagnostic, each authored by the head of that department and approved by the head of the institution, dated, version-controlled and signed by both</w:t>
      </w:r>
    </w:p>
    <w:p>
      <w:pPr>
        <w:pStyle w:val="ListParagraph"/>
        <w:numPr>
          <w:ilvl w:val="0"/>
          <w:numId w:val="1"/>
        </w:numPr>
        <w:spacing w:after="60"/>
      </w:pPr>
      <w:r>
        <w:rPr>
          <w:sz w:val="22"/>
          <w:szCs w:val="22"/>
        </w:rPr>
        <w:t xml:space="preserve">each scope stating the services and procedures performed, the patient populations accepted with the ages and categories not accepted, the acuity manageable and the point beyond it, the hours of each service and the out-of-hours arrangement, the dependencies relied on and where each is met from, the conditions stabilised and referred with the referral destination, and the person in charge</w:t>
      </w:r>
    </w:p>
    <w:p>
      <w:pPr>
        <w:pStyle w:val="ListParagraph"/>
        <w:numPr>
          <w:ilvl w:val="0"/>
          <w:numId w:val="1"/>
        </w:numPr>
        <w:spacing w:after="60"/>
      </w:pPr>
      <w:r>
        <w:rPr>
          <w:sz w:val="22"/>
          <w:szCs w:val="22"/>
        </w:rPr>
        <w:t xml:space="preserve">the specific exclusions written to the precision step 4 requires, each pointing to a response rather than ending in a refusal</w:t>
      </w:r>
    </w:p>
    <w:p>
      <w:pPr>
        <w:pStyle w:val="ListParagraph"/>
        <w:numPr>
          <w:ilvl w:val="0"/>
          <w:numId w:val="1"/>
        </w:numPr>
        <w:spacing w:after="60"/>
      </w:pPr>
      <w:r>
        <w:rPr>
          <w:sz w:val="22"/>
          <w:szCs w:val="22"/>
        </w:rPr>
        <w:t xml:space="preserve">the four-way alignment check record — directory against scopes, scopes against registrations and licences, scopes against current personnel and equipment, scopes against the display — with mismatches found, the document corrected and the correction recorded</w:t>
      </w:r>
    </w:p>
    <w:p>
      <w:pPr>
        <w:pStyle w:val="ListParagraph"/>
        <w:numPr>
          <w:ilvl w:val="0"/>
          <w:numId w:val="1"/>
        </w:numPr>
        <w:spacing w:after="60"/>
      </w:pPr>
      <w:r>
        <w:rPr>
          <w:sz w:val="22"/>
          <w:szCs w:val="22"/>
        </w:rPr>
        <w:t xml:space="preserve">review records at the stated interval and on every trigger event, showing the trigger honoured when a specialist left, equipment changed or a dependency moved</w:t>
      </w:r>
    </w:p>
    <w:p>
      <w:pPr>
        <w:pStyle w:val="ListParagraph"/>
        <w:numPr>
          <w:ilvl w:val="0"/>
          <w:numId w:val="1"/>
        </w:numPr>
        <w:spacing w:after="60"/>
      </w:pPr>
      <w:r>
        <w:rPr>
          <w:sz w:val="22"/>
          <w:szCs w:val="22"/>
        </w:rPr>
        <w:t xml:space="preserve">induction records showing each department's staff received its scope</w:t>
      </w:r>
    </w:p>
    <w:p>
      <w:pPr>
        <w:pStyle w:val="ListParagraph"/>
        <w:numPr>
          <w:ilvl w:val="0"/>
          <w:numId w:val="1"/>
        </w:numPr>
        <w:spacing w:after="60"/>
      </w:pPr>
      <w:r>
        <w:rPr>
          <w:sz w:val="22"/>
          <w:szCs w:val="22"/>
        </w:rPr>
        <w:t xml:space="preserve">the current scope available within the department</w:t>
      </w:r>
    </w:p>
    <w:p>
      <w:pPr>
        <w:pStyle w:val="ListParagraph"/>
        <w:numPr>
          <w:ilvl w:val="0"/>
          <w:numId w:val="1"/>
        </w:numPr>
        <w:spacing w:after="60"/>
      </w:pPr>
      <w:r>
        <w:rPr>
          <w:sz w:val="22"/>
          <w:szCs w:val="22"/>
        </w:rPr>
        <w:t xml:space="preserve">and the full set or consolidated summary held at reception, the front office and the emergency area</w:t>
      </w:r>
    </w:p>
    <w:p>
      <w:pPr>
        <w:spacing w:after="90" w:before="200"/>
      </w:pPr>
      <w:r>
        <w:rPr>
          <w:b/>
          <w:bCs/>
          <w:sz w:val="22"/>
          <w:szCs w:val="22"/>
        </w:rPr>
        <w:t xml:space="preserve">AAC.1.d — The defined healthcare services are prominently displayed</w:t>
      </w:r>
    </w:p>
    <w:p>
      <w:pPr>
        <w:pStyle w:val="ListParagraph"/>
        <w:numPr>
          <w:ilvl w:val="0"/>
          <w:numId w:val="1"/>
        </w:numPr>
        <w:spacing w:after="60"/>
      </w:pPr>
      <w:r>
        <w:rPr>
          <w:sz w:val="22"/>
          <w:szCs w:val="22"/>
        </w:rPr>
        <w:t xml:space="preserve">The display itself at the main entrance, reception and the emergency entrance and at any further stated location, in the stated languages, legible and maintained</w:t>
      </w:r>
    </w:p>
    <w:p>
      <w:pPr>
        <w:pStyle w:val="ListParagraph"/>
        <w:numPr>
          <w:ilvl w:val="0"/>
          <w:numId w:val="1"/>
        </w:numPr>
        <w:spacing w:after="60"/>
      </w:pPr>
      <w:r>
        <w:rPr>
          <w:sz w:val="22"/>
          <w:szCs w:val="22"/>
        </w:rPr>
        <w:t xml:space="preserve">the displayed content matching the service directory exactly, with round-the-clock services identified</w:t>
      </w:r>
    </w:p>
    <w:p>
      <w:pPr>
        <w:pStyle w:val="ListParagraph"/>
        <w:numPr>
          <w:ilvl w:val="0"/>
          <w:numId w:val="1"/>
        </w:numPr>
        <w:spacing w:after="60"/>
      </w:pPr>
      <w:r>
        <w:rPr>
          <w:sz w:val="22"/>
          <w:szCs w:val="22"/>
        </w:rPr>
        <w:t xml:space="preserve">the match check between display and directory performed with the alignment check at step 5</w:t>
      </w:r>
    </w:p>
    <w:p>
      <w:pPr>
        <w:pStyle w:val="ListParagraph"/>
        <w:numPr>
          <w:ilvl w:val="0"/>
          <w:numId w:val="1"/>
        </w:numPr>
        <w:spacing w:after="60"/>
      </w:pPr>
      <w:r>
        <w:rPr>
          <w:sz w:val="22"/>
          <w:szCs w:val="22"/>
        </w:rPr>
        <w:t xml:space="preserve">consistency of printed material and the online presence with the display</w:t>
      </w:r>
    </w:p>
    <w:p>
      <w:pPr>
        <w:pStyle w:val="ListParagraph"/>
        <w:numPr>
          <w:ilvl w:val="0"/>
          <w:numId w:val="1"/>
        </w:numPr>
        <w:spacing w:after="60"/>
      </w:pPr>
      <w:r>
        <w:rPr>
          <w:sz w:val="22"/>
          <w:szCs w:val="22"/>
        </w:rPr>
        <w:t xml:space="preserve">the record of prompt correction of every display on each suspension, withdrawal or addition, with dates</w:t>
      </w:r>
    </w:p>
    <w:p>
      <w:pPr>
        <w:pStyle w:val="ListParagraph"/>
        <w:numPr>
          <w:ilvl w:val="0"/>
          <w:numId w:val="1"/>
        </w:numPr>
        <w:spacing w:after="60"/>
      </w:pPr>
      <w:r>
        <w:rPr>
          <w:sz w:val="22"/>
          <w:szCs w:val="22"/>
        </w:rPr>
        <w:t xml:space="preserve">and the statutory displays attaching to specific services in place where those services are provided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Clinical Establishments (Registration and Regulation) Act, 2010 (or the corresponding State law where the 2010 Act is not in force) and the Consumer Protection Act, 2019.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2026-08-17T09:03:47.965Z</dcterms:created>
  <dcterms:modified xsi:type="dcterms:W3CDTF">2026-08-17T09:03:47.965Z</dcterms:modified>
</cp:coreProperties>
</file>

<file path=docProps/custom.xml><?xml version="1.0" encoding="utf-8"?>
<Properties xmlns="http://schemas.openxmlformats.org/officeDocument/2006/custom-properties" xmlns:vt="http://schemas.openxmlformats.org/officeDocument/2006/docPropsVTypes"/>
</file>