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Anaesthesia Services</w:t>
      </w:r>
    </w:p>
    <w:p>
      <w:pPr>
        <w:spacing w:after="300"/>
        <w:jc w:val="center"/>
      </w:pPr>
      <w:r>
        <w:rPr>
          <w:i/>
          <w:iCs/>
          <w:sz w:val="20"/>
          <w:szCs w:val="20"/>
        </w:rPr>
        <w:t xml:space="preserve">(Mandatory System Documentation as per NABH SHCO 3rd Edition — COP.10.a, COP.10.b, COP.10.c, COP.10.d, COP.10.e, COP.10.f, COP.10.g, COP.10.h)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HMP/COP/POL-10</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COP.10.a, COP.10.b, COP.10.c, COP.10.d, COP.10.e, COP.10.f, COP.10.g, COP.10.h</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COP.10.a</w:t>
            </w:r>
          </w:p>
        </w:tc>
        <w:tc>
          <w:tcPr>
            <w:tcW w:type="pct" w:w="45%"/>
          </w:tcPr>
          <w:p>
            <w:r>
              <w:rPr>
                <w:b w:val="false"/>
                <w:bCs w:val="false"/>
                <w:sz w:val="18"/>
                <w:szCs w:val="18"/>
              </w:rPr>
              <w:t xml:space="preserve">Anaesthesia services are administered in a consistent and safe manner.</w:t>
            </w:r>
          </w:p>
        </w:tc>
        <w:tc>
          <w:tcPr>
            <w:tcW w:type="pct" w:w="20%"/>
          </w:tcPr>
          <w:p>
            <w:r>
              <w:rPr>
                <w:b w:val="false"/>
                <w:bCs w:val="false"/>
                <w:sz w:val="18"/>
                <w:szCs w:val="18"/>
              </w:rPr>
              <w:t xml:space="preserve">Steps 1, 9</w:t>
            </w:r>
          </w:p>
        </w:tc>
        <w:tc>
          <w:tcPr>
            <w:tcW w:type="pct" w:w="20%"/>
          </w:tcPr>
          <w:p>
            <w:r>
              <w:rPr>
                <w:b w:val="false"/>
                <w:bCs w:val="false"/>
                <w:sz w:val="18"/>
                <w:szCs w:val="18"/>
              </w:rPr>
              <w:t xml:space="preserve">Person in charge of anaesthesia holds the written guidance, locations, types and equipment list; registered medical practitioners administer only against that guidance; head of the institution is accountable that unnamed locations do not anaesthetise; quality or accreditation coordinator audits</w:t>
            </w:r>
          </w:p>
        </w:tc>
      </w:tr>
      <w:tr>
        <w:tc>
          <w:tcPr>
            <w:tcW w:type="pct" w:w="15%"/>
          </w:tcPr>
          <w:p>
            <w:r>
              <w:rPr>
                <w:b w:val="false"/>
                <w:bCs w:val="false"/>
                <w:sz w:val="18"/>
                <w:szCs w:val="18"/>
              </w:rPr>
              <w:t xml:space="preserve">COP.10.b</w:t>
            </w:r>
          </w:p>
        </w:tc>
        <w:tc>
          <w:tcPr>
            <w:tcW w:type="pct" w:w="45%"/>
          </w:tcPr>
          <w:p>
            <w:r>
              <w:rPr>
                <w:b w:val="false"/>
                <w:bCs w:val="false"/>
                <w:sz w:val="18"/>
                <w:szCs w:val="18"/>
              </w:rPr>
              <w:t xml:space="preserve">The pre-anaesthesia assessment results in the formulation of an anaesthesia plan which is documented.</w:t>
            </w:r>
          </w:p>
        </w:tc>
        <w:tc>
          <w:tcPr>
            <w:tcW w:type="pct" w:w="20%"/>
          </w:tcPr>
          <w:p>
            <w:r>
              <w:rPr>
                <w:b w:val="false"/>
                <w:bCs w:val="false"/>
                <w:sz w:val="18"/>
                <w:szCs w:val="18"/>
              </w:rPr>
              <w:t xml:space="preserve">Steps 2, 3, 9</w:t>
            </w:r>
          </w:p>
        </w:tc>
        <w:tc>
          <w:tcPr>
            <w:tcW w:type="pct" w:w="20%"/>
          </w:tcPr>
          <w:p>
            <w:r>
              <w:rPr>
                <w:b w:val="false"/>
                <w:bCs w:val="false"/>
                <w:sz w:val="18"/>
                <w:szCs w:val="18"/>
              </w:rPr>
              <w:t xml:space="preserve">Person who performs the pre-anaesthesia assessment writes the plan in the record before anaesthesia; person in charge of anaesthesia holds the form and the required fields; person administering anaesthesia does not start without a documented plan; quality or accreditation coordinator audits</w:t>
            </w:r>
          </w:p>
        </w:tc>
      </w:tr>
      <w:tr>
        <w:tc>
          <w:tcPr>
            <w:tcW w:type="pct" w:w="15%"/>
          </w:tcPr>
          <w:p>
            <w:r>
              <w:rPr>
                <w:b w:val="false"/>
                <w:bCs w:val="false"/>
                <w:sz w:val="18"/>
                <w:szCs w:val="18"/>
              </w:rPr>
              <w:t xml:space="preserve">COP.10.c</w:t>
            </w:r>
          </w:p>
        </w:tc>
        <w:tc>
          <w:tcPr>
            <w:tcW w:type="pct" w:w="45%"/>
          </w:tcPr>
          <w:p>
            <w:r>
              <w:rPr>
                <w:b w:val="false"/>
                <w:bCs w:val="false"/>
                <w:sz w:val="18"/>
                <w:szCs w:val="18"/>
              </w:rPr>
              <w:t xml:space="preserve">A pre-induction assessment is performed and documented.</w:t>
            </w:r>
          </w:p>
        </w:tc>
        <w:tc>
          <w:tcPr>
            <w:tcW w:type="pct" w:w="20%"/>
          </w:tcPr>
          <w:p>
            <w:r>
              <w:rPr>
                <w:b w:val="false"/>
                <w:bCs w:val="false"/>
                <w:sz w:val="18"/>
                <w:szCs w:val="18"/>
              </w:rPr>
              <w:t xml:space="preserve">Steps 3, 2, 9</w:t>
            </w:r>
          </w:p>
        </w:tc>
        <w:tc>
          <w:tcPr>
            <w:tcW w:type="pct" w:w="20%"/>
          </w:tcPr>
          <w:p>
            <w:r>
              <w:rPr>
                <w:b w:val="false"/>
                <w:bCs w:val="false"/>
                <w:sz w:val="18"/>
                <w:szCs w:val="18"/>
              </w:rPr>
              <w:t xml:space="preserve">Person performing the pre-induction assessment documents it immediately before induction; person administering anaesthesia uses it; quality or accreditation coordinator audits</w:t>
            </w:r>
          </w:p>
        </w:tc>
      </w:tr>
      <w:tr>
        <w:tc>
          <w:tcPr>
            <w:tcW w:type="pct" w:w="15%"/>
          </w:tcPr>
          <w:p>
            <w:r>
              <w:rPr>
                <w:b w:val="false"/>
                <w:bCs w:val="false"/>
                <w:sz w:val="18"/>
                <w:szCs w:val="18"/>
              </w:rPr>
              <w:t xml:space="preserve">COP.10.d</w:t>
            </w:r>
          </w:p>
        </w:tc>
        <w:tc>
          <w:tcPr>
            <w:tcW w:type="pct" w:w="45%"/>
          </w:tcPr>
          <w:p>
            <w:r>
              <w:rPr>
                <w:b w:val="false"/>
                <w:bCs w:val="false"/>
                <w:sz w:val="18"/>
                <w:szCs w:val="18"/>
              </w:rPr>
              <w:t xml:space="preserve">Informed consent for administration of anaesthesia, is obtained.</w:t>
            </w:r>
          </w:p>
        </w:tc>
        <w:tc>
          <w:tcPr>
            <w:tcW w:type="pct" w:w="20%"/>
          </w:tcPr>
          <w:p>
            <w:r>
              <w:rPr>
                <w:b w:val="false"/>
                <w:bCs w:val="false"/>
                <w:sz w:val="18"/>
                <w:szCs w:val="18"/>
              </w:rPr>
              <w:t xml:space="preserve">Steps 4, 3, 9</w:t>
            </w:r>
          </w:p>
        </w:tc>
        <w:tc>
          <w:tcPr>
            <w:tcW w:type="pct" w:w="20%"/>
          </w:tcPr>
          <w:p>
            <w:r>
              <w:rPr>
                <w:b w:val="false"/>
                <w:bCs w:val="false"/>
                <w:sz w:val="18"/>
                <w:szCs w:val="18"/>
              </w:rPr>
              <w:t xml:space="preserve">Clinician obtaining consent records it before induction; person administering anaesthesia confirms it is present; patient-rights policies own the method; quality or accreditation coordinator audits</w:t>
            </w:r>
          </w:p>
        </w:tc>
      </w:tr>
      <w:tr>
        <w:tc>
          <w:tcPr>
            <w:tcW w:type="pct" w:w="15%"/>
          </w:tcPr>
          <w:p>
            <w:r>
              <w:rPr>
                <w:b w:val="false"/>
                <w:bCs w:val="false"/>
                <w:sz w:val="18"/>
                <w:szCs w:val="18"/>
              </w:rPr>
              <w:t xml:space="preserve">COP.10.e</w:t>
            </w:r>
          </w:p>
        </w:tc>
        <w:tc>
          <w:tcPr>
            <w:tcW w:type="pct" w:w="45%"/>
          </w:tcPr>
          <w:p>
            <w:r>
              <w:rPr>
                <w:b w:val="false"/>
                <w:bCs w:val="false"/>
                <w:sz w:val="18"/>
                <w:szCs w:val="18"/>
              </w:rPr>
              <w:t xml:space="preserve">Patients are monitored while under anaesthesia.</w:t>
            </w:r>
          </w:p>
        </w:tc>
        <w:tc>
          <w:tcPr>
            <w:tcW w:type="pct" w:w="20%"/>
          </w:tcPr>
          <w:p>
            <w:r>
              <w:rPr>
                <w:b w:val="false"/>
                <w:bCs w:val="false"/>
                <w:sz w:val="18"/>
                <w:szCs w:val="18"/>
              </w:rPr>
              <w:t xml:space="preserve">Steps 5, 1, 9</w:t>
            </w:r>
          </w:p>
        </w:tc>
        <w:tc>
          <w:tcPr>
            <w:tcW w:type="pct" w:w="20%"/>
          </w:tcPr>
          <w:p>
            <w:r>
              <w:rPr>
                <w:b w:val="false"/>
                <w:bCs w:val="false"/>
                <w:sz w:val="18"/>
                <w:szCs w:val="18"/>
              </w:rPr>
              <w:t xml:space="preserve">Registered medical practitioner administering anaesthesia monitors the patient and ensures contemporaneous recording; the person assisting does not reconstruct the chart at the end of the case; person in charge of anaesthesia holds the monitoring record; quality or accreditation coordinator audits</w:t>
            </w:r>
          </w:p>
        </w:tc>
      </w:tr>
      <w:tr>
        <w:tc>
          <w:tcPr>
            <w:tcW w:type="pct" w:w="15%"/>
          </w:tcPr>
          <w:p>
            <w:r>
              <w:rPr>
                <w:b w:val="false"/>
                <w:bCs w:val="false"/>
                <w:sz w:val="18"/>
                <w:szCs w:val="18"/>
              </w:rPr>
              <w:t xml:space="preserve">COP.10.f</w:t>
            </w:r>
          </w:p>
        </w:tc>
        <w:tc>
          <w:tcPr>
            <w:tcW w:type="pct" w:w="45%"/>
          </w:tcPr>
          <w:p>
            <w:r>
              <w:rPr>
                <w:b w:val="false"/>
                <w:bCs w:val="false"/>
                <w:sz w:val="18"/>
                <w:szCs w:val="18"/>
              </w:rPr>
              <w:t xml:space="preserve">Post anaesthesia monitoring is documented, and patients are discharged from the recovery area based on objective criteria.</w:t>
            </w:r>
          </w:p>
        </w:tc>
        <w:tc>
          <w:tcPr>
            <w:tcW w:type="pct" w:w="20%"/>
          </w:tcPr>
          <w:p>
            <w:r>
              <w:rPr>
                <w:b w:val="false"/>
                <w:bCs w:val="false"/>
                <w:sz w:val="18"/>
                <w:szCs w:val="18"/>
              </w:rPr>
              <w:t xml:space="preserve">Steps 6, 9</w:t>
            </w:r>
          </w:p>
        </w:tc>
        <w:tc>
          <w:tcPr>
            <w:tcW w:type="pct" w:w="20%"/>
          </w:tcPr>
          <w:p>
            <w:r>
              <w:rPr>
                <w:b w:val="false"/>
                <w:bCs w:val="false"/>
                <w:sz w:val="18"/>
                <w:szCs w:val="18"/>
              </w:rPr>
              <w:t xml:space="preserve">Person judging recovery discharge applies the objective criteria and records the judgement; person in charge of anaesthesia holds the criteria and the recovery area definition; quality or accreditation coordinator audits</w:t>
            </w:r>
          </w:p>
        </w:tc>
      </w:tr>
      <w:tr>
        <w:tc>
          <w:tcPr>
            <w:tcW w:type="pct" w:w="15%"/>
          </w:tcPr>
          <w:p>
            <w:r>
              <w:rPr>
                <w:b w:val="false"/>
                <w:bCs w:val="false"/>
                <w:sz w:val="18"/>
                <w:szCs w:val="18"/>
              </w:rPr>
              <w:t xml:space="preserve">COP.10.g</w:t>
            </w:r>
          </w:p>
        </w:tc>
        <w:tc>
          <w:tcPr>
            <w:tcW w:type="pct" w:w="45%"/>
          </w:tcPr>
          <w:p>
            <w:r>
              <w:rPr>
                <w:b w:val="false"/>
                <w:bCs w:val="false"/>
                <w:sz w:val="18"/>
                <w:szCs w:val="18"/>
              </w:rPr>
              <w:t xml:space="preserve">The type of anaesthesia and anaesthetic medications used are documented in the patient record.</w:t>
            </w:r>
          </w:p>
        </w:tc>
        <w:tc>
          <w:tcPr>
            <w:tcW w:type="pct" w:w="20%"/>
          </w:tcPr>
          <w:p>
            <w:r>
              <w:rPr>
                <w:b w:val="false"/>
                <w:bCs w:val="false"/>
                <w:sz w:val="18"/>
                <w:szCs w:val="18"/>
              </w:rPr>
              <w:t xml:space="preserve">Steps 7, 9</w:t>
            </w:r>
          </w:p>
        </w:tc>
        <w:tc>
          <w:tcPr>
            <w:tcW w:type="pct" w:w="20%"/>
          </w:tcPr>
          <w:p>
            <w:r>
              <w:rPr>
                <w:b w:val="false"/>
                <w:bCs w:val="false"/>
                <w:sz w:val="18"/>
                <w:szCs w:val="18"/>
              </w:rPr>
              <w:t xml:space="preserve">Person administering anaesthesia records type and medicines; medication policies own storage; quality or accreditation coordinator audits</w:t>
            </w:r>
          </w:p>
        </w:tc>
      </w:tr>
      <w:tr>
        <w:tc>
          <w:tcPr>
            <w:tcW w:type="pct" w:w="15%"/>
          </w:tcPr>
          <w:p>
            <w:r>
              <w:rPr>
                <w:b w:val="false"/>
                <w:bCs w:val="false"/>
                <w:sz w:val="18"/>
                <w:szCs w:val="18"/>
              </w:rPr>
              <w:t xml:space="preserve">COP.10.h</w:t>
            </w:r>
          </w:p>
        </w:tc>
        <w:tc>
          <w:tcPr>
            <w:tcW w:type="pct" w:w="45%"/>
          </w:tcPr>
          <w:p>
            <w:r>
              <w:rPr>
                <w:b w:val="false"/>
                <w:bCs w:val="false"/>
                <w:sz w:val="18"/>
                <w:szCs w:val="18"/>
              </w:rPr>
              <w:t xml:space="preserve">Intra-operative adverse anaesthesia events are recorded and monitored.</w:t>
            </w:r>
          </w:p>
        </w:tc>
        <w:tc>
          <w:tcPr>
            <w:tcW w:type="pct" w:w="20%"/>
          </w:tcPr>
          <w:p>
            <w:r>
              <w:rPr>
                <w:b w:val="false"/>
                <w:bCs w:val="false"/>
                <w:sz w:val="18"/>
                <w:szCs w:val="18"/>
              </w:rPr>
              <w:t xml:space="preserve">Steps 8, 9</w:t>
            </w:r>
          </w:p>
        </w:tc>
        <w:tc>
          <w:tcPr>
            <w:tcW w:type="pct" w:w="20%"/>
          </w:tcPr>
          <w:p>
            <w:r>
              <w:rPr>
                <w:b w:val="false"/>
                <w:bCs w:val="false"/>
                <w:sz w:val="18"/>
                <w:szCs w:val="18"/>
              </w:rPr>
              <w:t xml:space="preserve">Person administering anaesthesia records the event; person in charge of anaesthesia holds the review forum;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ASA</w:t>
            </w:r>
          </w:p>
        </w:tc>
        <w:tc>
          <w:tcPr>
            <w:tcW w:type="pct" w:w="75%"/>
          </w:tcPr>
          <w:p>
            <w:r>
              <w:rPr>
                <w:b w:val="false"/>
                <w:bCs w:val="false"/>
                <w:sz w:val="18"/>
                <w:szCs w:val="18"/>
              </w:rPr>
              <w:t xml:space="preserve">American Society of Anesthesiologists</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PAC</w:t>
            </w:r>
          </w:p>
        </w:tc>
        <w:tc>
          <w:tcPr>
            <w:tcW w:type="pct" w:w="75%"/>
          </w:tcPr>
          <w:p>
            <w:r>
              <w:rPr>
                <w:b w:val="false"/>
                <w:bCs w:val="false"/>
                <w:sz w:val="18"/>
                <w:szCs w:val="18"/>
              </w:rPr>
              <w:t xml:space="preserve">Pre-anaesthesia check / pre-anaesthesia assessment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anaesthesia services consistently and safely: written guidance that is the same wherever anaesthesia is given, a pre-anaesthesia assessment that results in a documented plan, a pre-induction assessment, informed consent before anaesthesia, monitoring while the patient is under anaesthesia, documented post-anaesthesia monitoring with discharge from recovery against objective criteria, the type of anaesthesia and the anaesthetic medicines in the patient record, and recording and monitoring of intra-operative adverse anaesthesia events.
The chapter intent is that written guidance and applicable laws guide the administration of anaesthesia. An anaesthetic given without a plan, without monitoring, or without a recovery rule, is not that service. This document is the process that makes the intent operational in the operation theatre, in any other location where anaesthesia is administered, and in the recovery area.
This document is not the procedural-sedation policy and it is not the surgical-procedure policy. Sedation is COP.9. Surgery — the operation, the site-marking, the checklist, the operation note — is COP.11. This document owns the anaesthetic.</w:t>
      </w:r>
    </w:p>
    <w:p>
      <w:pPr>
        <w:pStyle w:val="Heading1"/>
        <w:spacing w:after="150" w:before="300"/>
      </w:pPr>
      <w:r>
        <w:t xml:space="preserve">2. Scope</w:t>
      </w:r>
    </w:p>
    <w:p>
      <w:pPr>
        <w:spacing w:after="150"/>
      </w:pPr>
      <w:r>
        <w:rPr>
          <w:sz w:val="22"/>
          <w:szCs w:val="22"/>
        </w:rPr>
        <w:t xml:space="preserve">This policy applies to every location in which HMP Foundation administers anaesthesia: the operation theatre, any other location the hospital names as an anaesthesia location, and the recovery area. It binds the registered medical practitioner who administers anaesthesia, the person who assists and who monitors, the clinician who performs the pre-anaesthesia and pre-induction assessments, the clinician who obtains consent for anaesthesia, and the staff of the recovery area from which the patient is discharged.
It covers: written guidance that makes administration of anaesthesia consistent and safe; the pre-anaesthesia assessment and the documented anaesthesia plan that assessment produces; the pre-induction assessment; informed consent for administration of anaesthesia; monitoring of the patient while under anaesthesia; documented post-anaesthesia monitoring and discharge from the recovery area based on objective criteria; documentation of the type of anaesthesia and the anaesthetic medicines in the patient record; and recording and monitoring of intra-operative adverse anaesthesia events.
Boundaries with other policies of HMP Foundation:
- Procedural sedation is governed by the procedural-sedation policy of HMP Foundation (COP.9). Sedation is not general anaesthesia. This document does not write the sedation policy. COP.9 does not write this anaesthesia policy. A patient whose intended sedation is expected to reach a depth that is general anaesthesia is cared for under this document, not under a stretched reading of COP.9. Post-sedation recovery is COP.9.e; post-anaesthesia recovery is COP.10.f. They are sibling recovery processes, not one form.
- Clinical procedures and procedures in the operation theatre — preoperative assessment by the surgeon, surgical consent, prevention of wrong site, wrong patient and wrong surgery, the surgical safety checklist, standard precautions in the theatre, the operation note and postoperative surgical plan, theatre facilities, and the theatre quality-assurance programme — are governed by the procedures-and-operation-theatre policy of HMP Foundation (COP.11, sibling, not yet drafted). This document owns the anaesthetic. COP.11 owns the operation. The two meet in the theatre; they are not the same document. This draft states the division even though COP.11 is not yet in this agent's files.
- The method of informed consent generally is governed by the patient-rights policies of HMP Foundation (PRE, not yet drafted). This policy owns that informed consent for administration of anaesthesia is obtained before anaesthesia is given. PRE does not decide whether anaesthesia consent happened.
- Prescribing, storage, dispensing, administration-as-a-medication-process and the controlled-drug account are governed by the medication policies of HMP Foundation (MOM, not yet drafted). This policy owns anaesthetic care: the plan, the conduct of anaesthesia, monitoring, recovery, and that the type of anaesthesia and the anaesthetic medicines appear in the patient record. It does not write the pharmacy storage method. MOM must not restate anaesthetic method.
- Who may practise as a registered medical practitioner, and therefore who may administer anaesthesia, is governed by the National Medical Commission Act, 2019 and State Medical Council registration, verified under the human resource policies of HMP Foundation (HRM, not yet drafted). This policy requires that anaesthesia is administered by a competent person so registered; it does not restate the credentialing file.
- Reprocessing of reusable anaesthesia equipment — breathing circuits, masks, laryngoscope blades and handles where reusable, airways — is governed by the sterilisation policy of HMP Foundation (HIC.6). This policy owns that safe anaesthesia includes using equipment that has been processed; it does not write the cycle, the indicators, or the recall. HIC.6 already names respiratory and anaesthesia equipment as a high-level-disinfection / sterilisation class.
- Standard precautions, hand hygiene and injection safety in the theatre are governed by the infection-prevention policy of HMP Foundation (HIC.2). COP.11.e will require standard precautions in the theatre as a T2 follow-HIC.2 rule; this document does not rewrite PPE.
- Physiological control during surgery that HIC.4 names as part of the surgical-site-infection bundle (temperature, glycaemia) is an infection-prevention process owned by HIC.4. The anaesthetist at HMP Foundation may be the person who maintains those variables; the bundle measures stay in HIC.4. This document owns monitoring the patient under anaesthesia, not restating the SSI bundle.
- Uniform identification at the point of care is governed by the uniform-care policy of HMP Foundation (COP.1). The patient is identified before anaesthesia using those two identifiers.
- Cardio-pulmonary resuscitation, if it is required, is governed by the resuscitation policy of HMP Foundation (COP.3). This policy requires that resuscitation equipment and competent help are available where anaesthesia is given; it does not write the algorithm.
- Internal transfer into and out of theatre is governed by the continuity-of-care policy of HMP Foundation (AAC.7). This policy owns the anaesthetic during the theatre phase; AAC.7 owns the handover method and the move.
- Age-specific competency when a child is anaesthetised is governed by the paediatric policy of HMP Foundation (COP.8.c). This document still owns the anaesthetic.
- The medical record itself is governed by the information-management policies of HMP Foundation (IMS, not yet drafted). This policy owns the anaesthesia-assessment, plan, consent, intra-operative, medicine and recovery content written into that record.</w:t>
      </w:r>
    </w:p>
    <w:p>
      <w:pPr>
        <w:pStyle w:val="Heading1"/>
        <w:spacing w:after="150" w:before="300"/>
      </w:pPr>
      <w:r>
        <w:t xml:space="preserve">3. Policy Statement</w:t>
      </w:r>
    </w:p>
    <w:p>
      <w:pPr>
        <w:spacing w:after="150"/>
      </w:pPr>
      <w:r>
        <w:rPr>
          <w:sz w:val="22"/>
          <w:szCs w:val="22"/>
        </w:rPr>
        <w:t xml:space="preserve">HMP Foundation administers anaesthesia services in a consistent and safe manner, against written guidance, and only in named locations, by a registered medical practitioner competent for the anaesthetic being given.
HMP Foundation performs a pre-anaesthesia assessment that results in a documented anaesthesia plan. An assessment that does not produce a plan is unfinished. The plan is in the record before anaesthesia is given.
HMP Foundation performs and documents a pre-induction assessment immediately before induction, so that a plan written earlier is confirmed against the patient as they are now.
HMP Foundation obtains informed consent for administration of anaesthesia before anaesthesia is given.
HMP Foundation monitors the patient while under anaesthesia, and records the monitoring.
HMP Foundation documents post-anaesthesia monitoring and discharges the patient from the recovery area against objective criteria. A patient who does not meet those criteria is not discharged from recovery because the next case is waiting.
HMP Foundation documents the type of anaesthesia and the anaesthetic medicines used in the patient record.
HMP Foundation records intra-operative adverse anaesthesia events and monitors them, so that an event is not only in memory.
HMP Foundation treats procedural sedation as a different service, owned by the procedural-sedation policy, and treats the surgical procedure as a different service, owned by the procedures-and-operation-theatre policy.</w:t>
      </w:r>
    </w:p>
    <w:p>
      <w:pPr>
        <w:pStyle w:val="Heading1"/>
        <w:spacing w:after="150" w:before="300"/>
      </w:pPr>
      <w:r>
        <w:t xml:space="preserve">4. Procedure</w:t>
      </w:r>
    </w:p>
    <w:p>
      <w:pPr>
        <w:spacing w:after="90" w:before="240"/>
      </w:pPr>
      <w:r>
        <w:rPr>
          <w:b/>
          <w:bCs/>
          <w:sz w:val="23"/>
          <w:szCs w:val="23"/>
        </w:rPr>
        <w:t xml:space="preserve">1. Anaesthesia services administered in a consistent and safe manner (COP.10.a, COP.10.e)</w:t>
      </w:r>
    </w:p>
    <w:p>
      <w:pPr>
        <w:spacing w:after="120"/>
      </w:pPr>
      <w:r>
        <w:rPr>
          <w:sz w:val="22"/>
          <w:szCs w:val="22"/>
        </w:rPr>
        <w:t xml:space="preserve">Anaesthesia services at HMP Foundation are administered in a consistent and safe manner. Consistent means that the same written guidance governs every location in which anaesthesia is given: who may administer, where anaesthesia may be given, which types this hospital provides, what must be present, how the patient is identified, how the pre-anaesthesia plan and the pre-induction check are used, how monitoring is performed, how recovery is judged, and how an adverse event is recorded. Safe means that a location or a person that cannot meet that guidance does not give anaesthesia. This step is the documented-evidence anchor of a requirement the standard asterisks. An assessor will ask how anaesthesia in the main theatre relates to anaesthesia in any other named location, and the answer must be one written method, not a visiting practitioner's private habit.</w:t>
      </w:r>
    </w:p>
    <w:p>
      <w:pPr>
        <w:spacing w:after="120"/>
      </w:pPr>
      <w:r>
        <w:rPr>
          <w:sz w:val="22"/>
          <w:szCs w:val="22"/>
        </w:rPr>
        <w:t xml:space="preserve">The locations in which anaesthesia may be administered, and the types of anaesthesia this hospital provides (general, regional, local as a planned anaesthetic technique, or a stated combination), are [Hospital to define — the locations in which anaesthesia may be administered, and the types of anaesthesia provided]. A type the hospital does not provide is named as not provided. Local infiltration by the operator as part of a procedure, where no anaesthetic service is engaged, is not converted into an anaesthesia-service claim by this document; where the hospital treats it as a procedure rather than as anaesthesia, the procedures policy owns it.</w:t>
      </w:r>
    </w:p>
    <w:p>
      <w:pPr>
        <w:spacing w:after="120"/>
      </w:pPr>
      <w:r>
        <w:rPr>
          <w:sz w:val="22"/>
          <w:szCs w:val="22"/>
        </w:rPr>
        <w:t xml:space="preserve">Who may administer anaesthesia is a registered medical practitioner whose registration under the National Medical Commission Act, 2019 and the State Medical Council is current, and who has the competence the hospital has defined for the type being given. The named roles, and the competence required for each type and location, are [Hospital to define — who may administer anaesthesia, by role, type and location]. Registration is the statutory gate: a person who may not practise medicine here may not anaesthetise here. Competence is the hospital's further gate. Human-resource procedures verify registration; this step uses that verification. This document does not invent a mandatory specialist qualification the standard does not require; it requires that the hospital name who is actually permitted, and that those persons are registered and competent.</w:t>
      </w:r>
    </w:p>
    <w:p>
      <w:pPr>
        <w:spacing w:after="120"/>
      </w:pPr>
      <w:r>
        <w:rPr>
          <w:sz w:val="22"/>
          <w:szCs w:val="22"/>
        </w:rPr>
        <w:t xml:space="preserve">What must be present before anaesthesia starts — a functioning anaesthesia delivery system, airway equipment, oxygen, suction, monitoring that can produce the observations at step 5, resuscitation medicines, and a means of calling help — is [Hospital to define — what must be present before anaesthesia starts]. A location missing any item on that list does not start. Resuscitation, if required, follows the resuscitation policy of HMP Foundation; this step owns having the kit in the location. Reusable anaesthesia equipment is processed under the sterilisation policy of HMP Foundation before it is used; an unprocessed circuit or blade is not used. This step does not write the sterilisation cycle.</w:t>
      </w:r>
    </w:p>
    <w:p>
      <w:pPr>
        <w:spacing w:after="120"/>
      </w:pPr>
      <w:r>
        <w:rPr>
          <w:sz w:val="22"/>
          <w:szCs w:val="22"/>
        </w:rPr>
        <w:t xml:space="preserve">The patient is identified, before anaesthesia, using the two identifiers of the uniform-care policy of HMP Foundation. The surgical checks that prevent wrong site, wrong patient and wrong surgery remain under the procedures-and-operation-theatre policy; this step does not write the checklist. The anaesthetic does not start if the patient is not identified.</w:t>
      </w:r>
    </w:p>
    <w:p>
      <w:pPr>
        <w:spacing w:after="120"/>
      </w:pPr>
      <w:r>
        <w:rPr>
          <w:sz w:val="22"/>
          <w:szCs w:val="22"/>
        </w:rPr>
        <w:t xml:space="preserve">The division with sedation and with surgery is the safety content of this step. Procedural sedation is a different document (COP.9). A sedative given to permit a procedure, with the patient intended to remain at a sedation depth, is COP.9. General anaesthesia, and any planned anaesthetic technique this hospital has placed in the anaesthesia scope, is this document. Stretching COP.9 to cover an unplanned or intended general anaesthetic, or stretching this document to write endoscopy-room moderate sedation, is how two policies become none. Surgery is a third document (COP.11): the cut, the site mark, the checklist, the operation note. The anaesthetist and the surgeon work in the same room; the documents do not merge.</w:t>
      </w:r>
    </w:p>
    <w:p>
      <w:pPr>
        <w:spacing w:after="120"/>
      </w:pPr>
      <w:r>
        <w:rPr>
          <w:sz w:val="22"/>
          <w:szCs w:val="22"/>
        </w:rPr>
        <w:t xml:space="preserve">The written anaesthesia guidance, including locations, types, roles, the equipment list and the sedation/surgery division, is held at [Hospital to define — where the written anaesthesia guidance is held].</w:t>
      </w:r>
    </w:p>
    <w:p>
      <w:pPr>
        <w:spacing w:after="120"/>
      </w:pPr>
      <w:r>
        <w:rPr>
          <w:sz w:val="22"/>
          <w:szCs w:val="22"/>
        </w:rPr>
        <w:t xml:space="preserve">The common error is a folder of American Society of Anesthesiologists standards in the anaesthesia office and practice that follows the visiting practitioner. Chapter reference 3 of this chapter points at those standards as a recognised framework; this hospital may use them. They are not a substitute for written local guidance staff in this theatre actually apply. Consonance with a framework is the named local method; a downloaded PDF is not.</w:t>
      </w:r>
    </w:p>
    <w:p>
      <w:pPr>
        <w:spacing w:after="90" w:before="240"/>
      </w:pPr>
      <w:r>
        <w:rPr>
          <w:b/>
          <w:bCs/>
          <w:sz w:val="23"/>
          <w:szCs w:val="23"/>
        </w:rPr>
        <w:t xml:space="preserve">2. Pre-anaesthesia assessment resulting in a documented anaesthesia plan (COP.10.b, COP.10.c)</w:t>
      </w:r>
    </w:p>
    <w:p>
      <w:pPr>
        <w:spacing w:after="120"/>
      </w:pPr>
      <w:r>
        <w:rPr>
          <w:sz w:val="22"/>
          <w:szCs w:val="22"/>
        </w:rPr>
        <w:t xml:space="preserve">The pre-anaesthesia assessment results in the formulation of an anaesthesia plan which is documented. This step is a Core objective element and it is asterisked: it will be assessed at every visit, and the documented evidence is the plan in the record, not the claim that the patient was seen. An assessor will ask to see the plan. A note that says "fit for anaesthesia" without a plan is an opinion, not this requirement.</w:t>
      </w:r>
    </w:p>
    <w:p>
      <w:pPr>
        <w:spacing w:after="120"/>
      </w:pPr>
      <w:r>
        <w:rPr>
          <w:sz w:val="22"/>
          <w:szCs w:val="22"/>
        </w:rPr>
        <w:t xml:space="preserve">The pre-anaesthesia assessment is performed by [Hospital to define — who performs the pre-anaesthesia assessment] and is completed before the patient is anaesthetised, at a time that is [Hospital to define — when the pre-anaesthesia assessment is performed relative to the planned anaesthetic]. The content of the assessment is [Hospital to define — the content of the pre-anaesthesia assessment], and includes at least: identity against the two identifiers, the planned procedure so far as it is known, relevant history and examination, airway and fasting information this hospital requires, relevant investigation findings available at the time, and the risks that will shape the plan. This document does not print an ASA physical-status table as a mandate. If the hospital uses a physical-status classification, that classification is part of the content the hospital has defined; it is not imported here as a required score.</w:t>
      </w:r>
    </w:p>
    <w:p>
      <w:pPr>
        <w:spacing w:after="120"/>
      </w:pPr>
      <w:r>
        <w:rPr>
          <w:sz w:val="22"/>
          <w:szCs w:val="22"/>
        </w:rPr>
        <w:t xml:space="preserve">The assessment produces a documented anaesthesia plan. The fields the plan must contain are [Hospital to define — the fields the documented anaesthesia plan must contain], and include at least: the intended type of anaesthesia, the intended airway or regional strategy so far as it can be stated, the monitoring planned, and the plan if that strategy cannot be used. A heading titled "plan" with nothing under it is not a plan. The plan is written in the patient record against the unique identification number before anaesthesia is given. A plan that exists only in the practitioner's head, or that is written after induction, is not this step.</w:t>
      </w:r>
    </w:p>
    <w:p>
      <w:pPr>
        <w:spacing w:after="120"/>
      </w:pPr>
      <w:r>
        <w:rPr>
          <w:sz w:val="22"/>
          <w:szCs w:val="22"/>
        </w:rPr>
        <w:t xml:space="preserve">The reason the assessment must produce a plan, and not only a clearance, is that clearance answers a different question. Clearance says the patient may have an anaesthetic. The plan says which anaesthetic, with which airway, with which monitoring, and what will be done if that fails. Without the plan, two competent practitioners can give two different anaesthetics to the same patient on the same morning, and the record cannot tell which was intended. The common error is a stamped "PAC done" on the surgical form and no plan. That stamp is not a pre-anaesthesia assessment that resulted in a documented plan. It is a tick. It is forbidden here as a substitute for the plan.</w:t>
      </w:r>
    </w:p>
    <w:p>
      <w:pPr>
        <w:spacing w:after="120"/>
      </w:pPr>
      <w:r>
        <w:rPr>
          <w:sz w:val="22"/>
          <w:szCs w:val="22"/>
        </w:rPr>
        <w:t xml:space="preserve">The pre-anaesthesia assessment is not the pre-induction assessment at step 3. The first is the assessment that produces the plan, performed in time for the plan to exist. The second is the confirmation, immediately before induction, that the patient as they are now still matches that plan. Repeating the full history at the door of theatre is not a substitute for a missing plan. Skipping the pre-induction check because the plan exists is not a substitute for step 3.</w:t>
      </w:r>
    </w:p>
    <w:p>
      <w:pPr>
        <w:spacing w:after="120"/>
      </w:pPr>
      <w:r>
        <w:rPr>
          <w:sz w:val="22"/>
          <w:szCs w:val="22"/>
        </w:rPr>
        <w:t xml:space="preserve">Where the anaesthetic is an emergency and a full elective assessment cannot be completed, the assessment that was possible, the plan for this emergency anaesthetic, and the reason the elective content is incomplete, are recorded before induction so far as the emergency allows. An emergency does not cancel the plan; it shortens the assessment that produces one.</w:t>
      </w:r>
    </w:p>
    <w:p>
      <w:pPr>
        <w:spacing w:after="120"/>
      </w:pPr>
      <w:r>
        <w:rPr>
          <w:sz w:val="22"/>
          <w:szCs w:val="22"/>
        </w:rPr>
        <w:t xml:space="preserve">The pre-anaesthesia assessment form or electronic template, and where it is held, are [Hospital to define — the pre-anaesthesia assessment form or electronic template, and where it is held].</w:t>
      </w:r>
    </w:p>
    <w:p>
      <w:pPr>
        <w:spacing w:after="90" w:before="240"/>
      </w:pPr>
      <w:r>
        <w:rPr>
          <w:b/>
          <w:bCs/>
          <w:sz w:val="23"/>
          <w:szCs w:val="23"/>
        </w:rPr>
        <w:t xml:space="preserve">3. Pre-induction assessment performed and documented (COP.10.b, COP.10.c, COP.10.d)</w:t>
      </w:r>
    </w:p>
    <w:p>
      <w:pPr>
        <w:spacing w:after="120"/>
      </w:pPr>
      <w:r>
        <w:rPr>
          <w:sz w:val="22"/>
          <w:szCs w:val="22"/>
        </w:rPr>
        <w:t xml:space="preserve">A pre-induction assessment is performed and documented. It is performed immediately before induction by [Hospital to define — who performs the pre-induction assessment], and it confirms that the patient as they are now remains suitable for the plan at step 2.</w:t>
      </w:r>
    </w:p>
    <w:p>
      <w:pPr>
        <w:spacing w:after="120"/>
      </w:pPr>
      <w:r>
        <w:rPr>
          <w:sz w:val="22"/>
          <w:szCs w:val="22"/>
        </w:rPr>
        <w:t xml:space="preserve">The content of the pre-induction assessment is [Hospital to define — the content of the pre-induction assessment], and includes at least: identity using the two identifiers, confirmation that anaesthesia consent at step 4 is present, a review of the documented plan, and any change since the pre-anaesthesia assessment that alters that plan. A change that alters the plan is written before induction proceeds.</w:t>
      </w:r>
    </w:p>
    <w:p>
      <w:pPr>
        <w:spacing w:after="120"/>
      </w:pPr>
      <w:r>
        <w:rPr>
          <w:sz w:val="22"/>
          <w:szCs w:val="22"/>
        </w:rPr>
        <w:t xml:space="preserve">The pre-induction assessment is recorded against the unique identification number. It is not the pre-anaesthesia assessment rewritten. A single form that is dated days earlier is not a pre-induction assessment unless it has a documented immediate-pre-induction confirmation.</w:t>
      </w:r>
    </w:p>
    <w:p>
      <w:pPr>
        <w:spacing w:after="90" w:before="240"/>
      </w:pPr>
      <w:r>
        <w:rPr>
          <w:b/>
          <w:bCs/>
          <w:sz w:val="23"/>
          <w:szCs w:val="23"/>
        </w:rPr>
        <w:t xml:space="preserve">4. Informed consent for administration of anaesthesia (COP.10.d)</w:t>
      </w:r>
    </w:p>
    <w:p>
      <w:pPr>
        <w:spacing w:after="120"/>
      </w:pPr>
      <w:r>
        <w:rPr>
          <w:sz w:val="22"/>
          <w:szCs w:val="22"/>
        </w:rPr>
        <w:t xml:space="preserve">Informed consent for administration of anaesthesia is obtained before anaesthesia is given. The method of explaining, recording and witnessing consent is governed by the patient-rights policies of HMP Foundation. This step owns that anaesthesia-specific consent is present and is obtained before induction.</w:t>
      </w:r>
    </w:p>
    <w:p>
      <w:pPr>
        <w:spacing w:after="120"/>
      </w:pPr>
      <w:r>
        <w:rPr>
          <w:sz w:val="22"/>
          <w:szCs w:val="22"/>
        </w:rPr>
        <w:t xml:space="preserve">How anaesthesia consent is recorded — on a dedicated anaesthesia consent, on a combined procedure-and-anaesthesia consent, or another form — is [Hospital to define — how informed consent for anaesthesia is recorded]. A surgical consent that is silent on anaesthesia, when anaesthesia is then given, is not consent for administration of anaesthesia. A signature obtained after induction is not this step.</w:t>
      </w:r>
    </w:p>
    <w:p>
      <w:pPr>
        <w:spacing w:after="120"/>
      </w:pPr>
      <w:r>
        <w:rPr>
          <w:sz w:val="22"/>
          <w:szCs w:val="22"/>
        </w:rPr>
        <w:t xml:space="preserve">When the patient is a child, consent is obtained from the person entitled to consent under the patient-rights policies; age-specific care remains under the paediatric policy of HMP Foundation. When the patient cannot consent, the patient-rights policies govern the substitute. This step still requires that the record shows anaesthesia consent before induction.</w:t>
      </w:r>
    </w:p>
    <w:p>
      <w:pPr>
        <w:spacing w:after="90" w:before="240"/>
      </w:pPr>
      <w:r>
        <w:rPr>
          <w:b/>
          <w:bCs/>
          <w:sz w:val="23"/>
          <w:szCs w:val="23"/>
        </w:rPr>
        <w:t xml:space="preserve">5. Monitoring the patient while under anaesthesia (COP.10.e)</w:t>
      </w:r>
    </w:p>
    <w:p>
      <w:pPr>
        <w:spacing w:after="120"/>
      </w:pPr>
      <w:r>
        <w:rPr>
          <w:sz w:val="22"/>
          <w:szCs w:val="22"/>
        </w:rPr>
        <w:t xml:space="preserve">Patients are monitored while under anaesthesia. This step is a Core objective element and it is asterisked. The documented evidence is the monitoring record for the period the patient was under anaesthesia, not a machine that was in the room. An assessor will ask how the patient was monitored. A machine switched on with no record, or a record that starts after induction and stops before emergence, is not this requirement.</w:t>
      </w:r>
    </w:p>
    <w:p>
      <w:pPr>
        <w:spacing w:after="120"/>
      </w:pPr>
      <w:r>
        <w:rPr>
          <w:sz w:val="22"/>
          <w:szCs w:val="22"/>
        </w:rPr>
        <w:t xml:space="preserve">Monitoring continues for the whole of the period the patient is under anaesthesia — from induction until the patient is handed to the recovery process at step 6. The parameters monitored, and the interval at which they are recorded, are [Hospital to define — the parameters monitored while the patient is under anaesthesia, and the recording interval]. Recognised frameworks, including the American Society of Anesthesiologists standards for basic anaesthetic monitoring (chapter reference 3), describe oxygenation, ventilation, circulation and temperature as the domains of basic monitoring. This document does not convert those societies' standards into a mandatory numeric table and does not print alarm limits. It requires that this hospital name the parameters it actually records, that those parameters cover the patient under anaesthesia, and that the record exists. A parameter that cannot be obtained is recorded as such, with the reason; anaesthesia does not continue as if the parameter were present unless a documented clinical reason is recorded.</w:t>
      </w:r>
    </w:p>
    <w:p>
      <w:pPr>
        <w:spacing w:after="120"/>
      </w:pPr>
      <w:r>
        <w:rPr>
          <w:sz w:val="22"/>
          <w:szCs w:val="22"/>
        </w:rPr>
        <w:t xml:space="preserve">The reason monitoring is written as a record, not as equipment, is that equipment fails silently when nobody is looking at it, and that a visiting practitioner's memory of "the patient was fine" cannot be audited. The common error is a monitor facing away from the person administering anaesthesia, or a paper chart filled in at the end of the case from memory. Filling the chart at the end is not monitoring while under anaesthesia. It is reconstruction. It is forbidden here as a substitute for contemporaneous recording.</w:t>
      </w:r>
    </w:p>
    <w:p>
      <w:pPr>
        <w:spacing w:after="120"/>
      </w:pPr>
      <w:r>
        <w:rPr>
          <w:sz w:val="22"/>
          <w:szCs w:val="22"/>
        </w:rPr>
        <w:t xml:space="preserve">Physiological variables that the surgical-site-infection bundle of HMP Foundation assigns to the anaesthetist (temperature, glycaemia) remain bundle measures owned by the prevention-of-healthcare-associated-infection policy. This step may be how those variables are observed during anaesthesia; it does not restate the bundle, the antibiotic-timing rule, or the surveillance definition.</w:t>
      </w:r>
    </w:p>
    <w:p>
      <w:pPr>
        <w:spacing w:after="120"/>
      </w:pPr>
      <w:r>
        <w:rPr>
          <w:sz w:val="22"/>
          <w:szCs w:val="22"/>
        </w:rPr>
        <w:t xml:space="preserve">Wrong-site nerve block, where regional anaesthesia is provided, is prevented by the identity and site checks this hospital defines; the surgical wrong-site method remains under the procedures policy (COP.11.d). Chapter reference 15 is noted as a recognised source on wrong-site nerve blocks; this document does not paste a checklist from it. The two-identifier rule of the uniform-care policy applies before a block is performed.</w:t>
      </w:r>
    </w:p>
    <w:p>
      <w:pPr>
        <w:spacing w:after="120"/>
      </w:pPr>
      <w:r>
        <w:rPr>
          <w:sz w:val="22"/>
          <w:szCs w:val="22"/>
        </w:rPr>
        <w:t xml:space="preserve">The anaesthesia monitoring record, and where it is held, are [Hospital to define — the anaesthesia monitoring record, and where it is held].</w:t>
      </w:r>
    </w:p>
    <w:p>
      <w:pPr>
        <w:spacing w:after="90" w:before="240"/>
      </w:pPr>
      <w:r>
        <w:rPr>
          <w:b/>
          <w:bCs/>
          <w:sz w:val="23"/>
          <w:szCs w:val="23"/>
        </w:rPr>
        <w:t xml:space="preserve">6. Post-anaesthesia monitoring and objective discharge from recovery (COP.10.f)</w:t>
      </w:r>
    </w:p>
    <w:p>
      <w:pPr>
        <w:spacing w:after="120"/>
      </w:pPr>
      <w:r>
        <w:rPr>
          <w:sz w:val="22"/>
          <w:szCs w:val="22"/>
        </w:rPr>
        <w:t xml:space="preserve">Post-anaesthesia monitoring is documented, and patients are discharged from the recovery area based on objective criteria. This step is asterisked (the 2026-08-10 audit flipped COP.10.f to asterisked; the PDF agrees). The documented evidence is the recovery record plus a discharge that cites the criteria, not a time of day.</w:t>
      </w:r>
    </w:p>
    <w:p>
      <w:pPr>
        <w:spacing w:after="120"/>
      </w:pPr>
      <w:r>
        <w:rPr>
          <w:sz w:val="22"/>
          <w:szCs w:val="22"/>
        </w:rPr>
        <w:t xml:space="preserve">The patient is transferred to a recovery area after anaesthesia. The recovery area is [Hospital to define — the recovery area used after anaesthesia]. It is not a corridor and it is not an unmonitored waiting chair. Transfer into recovery uses the internal-transfer method of the continuity-of-care policy of HMP Foundation for the move; this step owns the monitoring that continues after the move.</w:t>
      </w:r>
    </w:p>
    <w:p>
      <w:pPr>
        <w:spacing w:after="120"/>
      </w:pPr>
      <w:r>
        <w:rPr>
          <w:sz w:val="22"/>
          <w:szCs w:val="22"/>
        </w:rPr>
        <w:t xml:space="preserve">The observations continued in recovery, and the objective criteria against which the patient is discharged from the recovery area, are [Hospital to define — the post-anaesthesia observations and the objective criteria for discharge from the recovery area]. This document does not mandate a named recovery score. It requires that the criteria are objective — a stated set of observations and conditions — and that a patient who does not meet them is not discharged from recovery because the next case is waiting or because the theatre list has moved on. The common error is a recovery discharge timed to the porter, not to the patient. That error returns an unstable patient to a ward that believes recovery has already happened. It is forbidden here.</w:t>
      </w:r>
    </w:p>
    <w:p>
      <w:pPr>
        <w:spacing w:after="120"/>
      </w:pPr>
      <w:r>
        <w:rPr>
          <w:sz w:val="22"/>
          <w:szCs w:val="22"/>
        </w:rPr>
        <w:t xml:space="preserve">The person who judges discharge against those criteria is [Hospital to define — who judges discharge from the recovery area against the objective criteria]. The judgement and the observations are recorded against the unique identification number.</w:t>
      </w:r>
    </w:p>
    <w:p>
      <w:pPr>
        <w:spacing w:after="120"/>
      </w:pPr>
      <w:r>
        <w:rPr>
          <w:sz w:val="22"/>
          <w:szCs w:val="22"/>
        </w:rPr>
        <w:t xml:space="preserve">This step is not COP.9.e. COP.9.e is discharge from recovery after procedural sedation. This step is discharge from recovery after anaesthesia. The criteria may resemble each other; they are not automatically the same list, and they are not one form unless the hospital has written them so. This step is not discharge from the organisation, which remains under the discharge policy of HMP Foundation.</w:t>
      </w:r>
    </w:p>
    <w:p>
      <w:pPr>
        <w:spacing w:after="120"/>
      </w:pPr>
      <w:r>
        <w:rPr>
          <w:sz w:val="22"/>
          <w:szCs w:val="22"/>
        </w:rPr>
        <w:t xml:space="preserve">The written recovery criteria, and where they are held, are [Hospital to define — where the post-anaesthesia recovery criteria are held].</w:t>
      </w:r>
    </w:p>
    <w:p>
      <w:pPr>
        <w:spacing w:after="90" w:before="240"/>
      </w:pPr>
      <w:r>
        <w:rPr>
          <w:b/>
          <w:bCs/>
          <w:sz w:val="23"/>
          <w:szCs w:val="23"/>
        </w:rPr>
        <w:t xml:space="preserve">7. Type of anaesthesia and anaesthetic medicines in the patient record (COP.10.g)</w:t>
      </w:r>
    </w:p>
    <w:p>
      <w:pPr>
        <w:spacing w:after="120"/>
      </w:pPr>
      <w:r>
        <w:rPr>
          <w:sz w:val="22"/>
          <w:szCs w:val="22"/>
        </w:rPr>
        <w:t xml:space="preserve">The type of anaesthesia and the anaesthetic medications used are documented in the patient record, against the unique identification number. The type is the type that was actually given, which may differ from the planned type at step 2; if it differs, the record says so.</w:t>
      </w:r>
    </w:p>
    <w:p>
      <w:pPr>
        <w:spacing w:after="120"/>
      </w:pPr>
      <w:r>
        <w:rPr>
          <w:sz w:val="22"/>
          <w:szCs w:val="22"/>
        </w:rPr>
        <w:t xml:space="preserve">How the type and the medicines are recorded — anaesthesia chart, electronic record, or other — is [Hospital to define — how the type of anaesthesia and the anaesthetic medicines are recorded in the patient record]. A medicine given but absent from the record is incomplete. The medication policies of HMP Foundation own storage, the controlled-drug account and the hospital-wide medication process. This step owns that the anaesthetic care record names the type and the medicines used. MOM does not restate this record; this step does not write the pharmacy cupboard.</w:t>
      </w:r>
    </w:p>
    <w:p>
      <w:pPr>
        <w:spacing w:after="90" w:before="240"/>
      </w:pPr>
      <w:r>
        <w:rPr>
          <w:b/>
          <w:bCs/>
          <w:sz w:val="23"/>
          <w:szCs w:val="23"/>
        </w:rPr>
        <w:t xml:space="preserve">8. Intra-operative adverse anaesthesia events recorded and monitored (COP.10.h)</w:t>
      </w:r>
    </w:p>
    <w:p>
      <w:pPr>
        <w:spacing w:after="120"/>
      </w:pPr>
      <w:r>
        <w:rPr>
          <w:sz w:val="22"/>
          <w:szCs w:val="22"/>
        </w:rPr>
        <w:t xml:space="preserve">Intra-operative adverse anaesthesia events are recorded and monitored. An event that is managed and then forgotten is not recorded. An event that is recorded and never reviewed is not monitored.</w:t>
      </w:r>
    </w:p>
    <w:p>
      <w:pPr>
        <w:spacing w:after="120"/>
      </w:pPr>
      <w:r>
        <w:rPr>
          <w:sz w:val="22"/>
          <w:szCs w:val="22"/>
        </w:rPr>
        <w:t xml:space="preserve">What this hospital treats as an intra-operative adverse anaesthesia event, how it is recorded in the patient record and in the event register or equivalent, and the forum at which events are reviewed, are [Hospital to define — what is treated as an intra-operative adverse anaesthesia event, how it is recorded, and the forum at which events are reviewed]. This objective element is Achievement and unasterisked; the treatment is Tier 2: requirement and method, without a mandated list of events or a numeric rate.</w:t>
      </w:r>
    </w:p>
    <w:p>
      <w:pPr>
        <w:spacing w:after="120"/>
      </w:pPr>
      <w:r>
        <w:rPr>
          <w:sz w:val="22"/>
          <w:szCs w:val="22"/>
        </w:rPr>
        <w:t xml:space="preserve">Corrective action that follows review is recorded. This step does not write the hospital-wide incident-reporting policy; it requires that anaesthesia events enter a recorded and reviewed stream.</w:t>
      </w:r>
    </w:p>
    <w:p>
      <w:pPr>
        <w:spacing w:after="90" w:before="240"/>
      </w:pPr>
      <w:r>
        <w:rPr>
          <w:b/>
          <w:bCs/>
          <w:sz w:val="23"/>
          <w:szCs w:val="23"/>
        </w:rPr>
        <w:t xml:space="preserve">9. Records, review and the order of operations (COP.10.a, COP.10.b, COP.10.c, COP.10.d, COP.10.e, COP.10.f, COP.10.g, COP.10.h)</w:t>
      </w:r>
    </w:p>
    <w:p>
      <w:pPr>
        <w:spacing w:after="120"/>
      </w:pPr>
      <w:r>
        <w:rPr>
          <w:sz w:val="22"/>
          <w:szCs w:val="22"/>
        </w:rPr>
        <w:t xml:space="preserve">Every anaesthetic is recorded against the unique identification number: the pre-anaesthesia assessment and plan, the pre-induction assessment, consent before induction, the monitoring record while under anaesthesia, the type and medicines, any intra-operative adverse event, the recovery observations, and the objective-criteria discharge from recovery.</w:t>
      </w:r>
    </w:p>
    <w:p>
      <w:pPr>
        <w:spacing w:after="120"/>
      </w:pPr>
      <w:r>
        <w:rPr>
          <w:sz w:val="22"/>
          <w:szCs w:val="22"/>
        </w:rPr>
        <w:t xml:space="preserve">The quality or accreditation coordinator audits a sample of these records at [Hospital to define — the audit interval for anaesthesia records] for: anaesthesia given only in a named location against the written guidance; a documented plan produced by the pre-anaesthesia assessment, not a stamp; a pre-induction assessment immediately before induction; consent before induction; contemporaneous monitoring while under anaesthesia; type and medicines in the record; adverse events recorded where they occurred; and recovery discharge against objective criteria.</w:t>
      </w:r>
    </w:p>
    <w:p>
      <w:pPr>
        <w:spacing w:after="120"/>
      </w:pPr>
      <w:r>
        <w:rPr>
          <w:sz w:val="22"/>
          <w:szCs w:val="22"/>
        </w:rPr>
        <w:t xml:space="preserve">This policy is reviewed at [Hospital to define — the review interval for this policy], and sooner when a missing plan, a reconstructed monitoring chart, an unplanned deepening from sedation that was not handed here, or a recovery discharge that did not meet the criteria exposes a gap, or when the sedation, procedures, medication, sterilisation or patient-rights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administering anaesthesia only against written guidance, only in named locations, and only by registered medical practitioners competent for the anaesthetic given.
The person in charge of anaesthesia authors and keeps current the written anaesthesia guidance at step 1, holds the pre-anaesthesia assessment method and plan fields at step 2, holds the monitoring record at step 5, and holds the recovery criteria at step 6.
The registered medical practitioner who administers anaesthesia performs or uses the pre-anaesthesia plan, performs the pre-induction assessment, confirms consent, monitors the patient while under anaesthesia and records that monitoring contemporaneously, records the type and medicines, records adverse events, and does not start anaesthesia in a location that cannot meet the guidance.
The person who assists and who records monitoring does not reconstruct the chart at the end of the case.
The person who judges discharge from recovery applies the objective criteria and records the judgement.
Clinicians who obtain consent do so before induction, using the patient-rights method.
The quality or accreditation coordinator audits the records at step 9 and reports findings to the head of the institution.
All staff are expected to treat anaesthesia without a documented plan, a reconstructed monitoring chart, consent after induction, and discharge from recovery of a patient who does not meet the criteria,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COP.10.
- National Medical Commission Act, 2019 and State Medical Council registration — insofar as they govern who may administer anaesthesia.
- Anaesthesia Care Standards and Practice Guidelines, American Society of Anesthesiologists — chapter reference 3; a recognised framework this hospital may use for consistent safe practice and for the domains of basic anaesthetic monitoring; this document does not import those standards as a mandatory numeric table.
- Colvin, J. R., &amp; Peden, C. (2012). Raising the Standard: A Compendium of Audit Recipes for Continuous Quality Improvement in Anaesthesia (3rd ed.) — chapter reference 12; a recognised audit framework the hospital may use; not mandated.
- Deutsch, E. S., et al. (2018). Wrong-site nerve blocks: A systematic literature review to guide principles for prevention. Journal of Clinical Anesthesia, 46, 101-111 — chapter reference 15; noted where regional anaesthesia is provided; the surgical wrong-site method remains under the procedures policy.
- Sessler, D. I. (2016). Perioperative thermoregulation and heat balance. The Lancet, 387(10038), 2655-2664 — chapter reference 52; cited only as a recognised source on perioperative temperature; temperature as an SSI-bundle measure remains under the prevention-of-healthcare-associated-infection policy.
- Wax, D. B., et al. (2018). An Automated Critical Event Screening and Notification System to Facilitate Preanesthesia Record Review. Anesthesia &amp; Analgesia, 126(2), 606-610 — chapter reference 62; a recognised source on pre-anaesthesia record review; not imported as a mandated software system.
- Internal documents of HMP Foundation: the written anaesthesia guidance; the pre-anaesthesia assessment form and documented plan; the pre-induction assessment record; the anaesthesia-consent record; the intra-operative monitoring record; the recovery observations and objective discharge criteria; the anaesthetic-medicines record; the adverse-event record and review forum; the procedural-sedation policy; the procedures-and-operation-theatre policy; the patient-rights policies; the medication policies; the sterilisation policy; the resuscitation policy; the continuity-of-care policy; the paediatric policy;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operation theatre; the recovery area; every other named anaesthesia location; anaesthesia; nursing administration; the person in charge of anaesthesia; and every head of department whose patients receive anaesthesia.
The current version is available to all staff at [Hospital to define — intranet location or nursing station folder]. The written anaesthesia guidance, the pre-anaesthesia assessment form, the monitoring record and the recovery criteria — the working documents this policy requires — are held in the theatre and recovery areas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COP.10.a — Anaesthesia services are administered in a consistent and safe manner.</w:t>
      </w:r>
    </w:p>
    <w:p>
      <w:pPr>
        <w:pStyle w:val="ListParagraph"/>
        <w:numPr>
          <w:ilvl w:val="0"/>
          <w:numId w:val="1"/>
        </w:numPr>
        <w:spacing w:after="60"/>
      </w:pPr>
      <w:r>
        <w:rPr>
          <w:sz w:val="22"/>
          <w:szCs w:val="22"/>
        </w:rPr>
        <w:t xml:space="preserve">The written anaesthesia guidance used in every named location, covering who may administer, where anaesthesia may be given, which types this hospital provides, what must be present, identification, use of the pre-anaesthesia plan and pre-induction check, monitoring, recovery, and recording of adverse events, showing one hospital-wide method rather than a visiting practitioner's private habit or a downloaded ASA PDF in an office that is not applied in this theatre</w:t>
      </w:r>
    </w:p>
    <w:p>
      <w:pPr>
        <w:pStyle w:val="ListParagraph"/>
        <w:numPr>
          <w:ilvl w:val="0"/>
          <w:numId w:val="1"/>
        </w:numPr>
        <w:spacing w:after="60"/>
      </w:pPr>
      <w:r>
        <w:rPr>
          <w:sz w:val="22"/>
          <w:szCs w:val="22"/>
        </w:rPr>
        <w:t xml:space="preserve">the named locations and types of anaesthesia provided, with types not provided named as not provided, and local infiltration by an operator not converted into an anaesthesia-service claim where the hospital treats it as a procedure</w:t>
      </w:r>
    </w:p>
    <w:p>
      <w:pPr>
        <w:pStyle w:val="ListParagraph"/>
        <w:numPr>
          <w:ilvl w:val="0"/>
          <w:numId w:val="1"/>
        </w:numPr>
        <w:spacing w:after="60"/>
      </w:pPr>
      <w:r>
        <w:rPr>
          <w:sz w:val="22"/>
          <w:szCs w:val="22"/>
        </w:rPr>
        <w:t xml:space="preserve">the named roles who may administer, by type and location, showing current registration under the National Medical Commission Act, 2019 and State Medical Council as the statutory gate and hospital-defined competence as the further gate, without an invented mandatory specialist qualification the standard does not require</w:t>
      </w:r>
    </w:p>
    <w:p>
      <w:pPr>
        <w:pStyle w:val="ListParagraph"/>
        <w:numPr>
          <w:ilvl w:val="0"/>
          <w:numId w:val="1"/>
        </w:numPr>
        <w:spacing w:after="60"/>
      </w:pPr>
      <w:r>
        <w:rPr>
          <w:sz w:val="22"/>
          <w:szCs w:val="22"/>
        </w:rPr>
        <w:t xml:space="preserve">the equipment list of what must be present before anaesthesia starts and records of a location missing an item not starting</w:t>
      </w:r>
    </w:p>
    <w:p>
      <w:pPr>
        <w:pStyle w:val="ListParagraph"/>
        <w:numPr>
          <w:ilvl w:val="0"/>
          <w:numId w:val="1"/>
        </w:numPr>
        <w:spacing w:after="60"/>
      </w:pPr>
      <w:r>
        <w:rPr>
          <w:sz w:val="22"/>
          <w:szCs w:val="22"/>
        </w:rPr>
        <w:t xml:space="preserve">records showing reusable anaesthesia equipment processed under the sterilisation policy before use rather than an unprocessed circuit or blade used</w:t>
      </w:r>
    </w:p>
    <w:p>
      <w:pPr>
        <w:pStyle w:val="ListParagraph"/>
        <w:numPr>
          <w:ilvl w:val="0"/>
          <w:numId w:val="1"/>
        </w:numPr>
        <w:spacing w:after="60"/>
      </w:pPr>
      <w:r>
        <w:rPr>
          <w:sz w:val="22"/>
          <w:szCs w:val="22"/>
        </w:rPr>
        <w:t xml:space="preserve">sample episodes showing two identifiers applied before anaesthesia, with surgical wrong-site checks left to the procedures policy</w:t>
      </w:r>
    </w:p>
    <w:p>
      <w:pPr>
        <w:pStyle w:val="ListParagraph"/>
        <w:numPr>
          <w:ilvl w:val="0"/>
          <w:numId w:val="1"/>
        </w:numPr>
        <w:spacing w:after="60"/>
      </w:pPr>
      <w:r>
        <w:rPr>
          <w:sz w:val="22"/>
          <w:szCs w:val="22"/>
        </w:rPr>
        <w:t xml:space="preserve">the recorded division that procedural sedation is COP.9, that unplanned or intended general anaesthesia is this document and not a stretched COP.9, and that the surgical procedure, site-marking, checklist and operation note are COP.11</w:t>
      </w:r>
    </w:p>
    <w:p>
      <w:pPr>
        <w:pStyle w:val="ListParagraph"/>
        <w:numPr>
          <w:ilvl w:val="0"/>
          <w:numId w:val="1"/>
        </w:numPr>
        <w:spacing w:after="60"/>
      </w:pPr>
      <w:r>
        <w:rPr>
          <w:sz w:val="22"/>
          <w:szCs w:val="22"/>
        </w:rPr>
        <w:t xml:space="preserve">the location where the written guidance is held</w:t>
      </w:r>
    </w:p>
    <w:p>
      <w:pPr>
        <w:pStyle w:val="ListParagraph"/>
        <w:numPr>
          <w:ilvl w:val="0"/>
          <w:numId w:val="1"/>
        </w:numPr>
        <w:spacing w:after="60"/>
      </w:pPr>
      <w:r>
        <w:rPr>
          <w:sz w:val="22"/>
          <w:szCs w:val="22"/>
        </w:rPr>
        <w:t xml:space="preserve">induction or briefing records showing theatre and anaesthesia staff have been shown that guidance</w:t>
      </w:r>
    </w:p>
    <w:p>
      <w:pPr>
        <w:pStyle w:val="ListParagraph"/>
        <w:numPr>
          <w:ilvl w:val="0"/>
          <w:numId w:val="1"/>
        </w:numPr>
        <w:spacing w:after="60"/>
      </w:pPr>
      <w:r>
        <w:rPr>
          <w:sz w:val="22"/>
          <w:szCs w:val="22"/>
        </w:rPr>
        <w:t xml:space="preserve">the audit sample at step 9 of anaesthesia given only in a named location against the written guidance</w:t>
      </w:r>
    </w:p>
    <w:p>
      <w:pPr>
        <w:spacing w:after="90" w:before="200"/>
      </w:pPr>
      <w:r>
        <w:rPr>
          <w:b/>
          <w:bCs/>
          <w:sz w:val="22"/>
          <w:szCs w:val="22"/>
        </w:rPr>
        <w:t xml:space="preserve">COP.10.b — The pre-anaesthesia assessment results in the formulation of an anaesthesia plan which is documented.</w:t>
      </w:r>
    </w:p>
    <w:p>
      <w:pPr>
        <w:pStyle w:val="ListParagraph"/>
        <w:numPr>
          <w:ilvl w:val="0"/>
          <w:numId w:val="1"/>
        </w:numPr>
        <w:spacing w:after="60"/>
      </w:pPr>
      <w:r>
        <w:rPr>
          <w:sz w:val="22"/>
          <w:szCs w:val="22"/>
        </w:rPr>
        <w:t xml:space="preserve">The named person who performs the pre-anaesthesia assessment and the time at which it is performed relative to the planned anaesthetic</w:t>
      </w:r>
    </w:p>
    <w:p>
      <w:pPr>
        <w:pStyle w:val="ListParagraph"/>
        <w:numPr>
          <w:ilvl w:val="0"/>
          <w:numId w:val="1"/>
        </w:numPr>
        <w:spacing w:after="60"/>
      </w:pPr>
      <w:r>
        <w:rPr>
          <w:sz w:val="22"/>
          <w:szCs w:val="22"/>
        </w:rPr>
        <w:t xml:space="preserve">the written content of the assessment including identity against two identifiers, the planned procedure so far as known, relevant history and examination, airway and fasting information this hospital requires, relevant investigation findings, and the risks that shape the plan, showing that an ASA physical-status table is used only if the hospital has included it in that content and is not imported here as a mandated score</w:t>
      </w:r>
    </w:p>
    <w:p>
      <w:pPr>
        <w:pStyle w:val="ListParagraph"/>
        <w:numPr>
          <w:ilvl w:val="0"/>
          <w:numId w:val="1"/>
        </w:numPr>
        <w:spacing w:after="60"/>
      </w:pPr>
      <w:r>
        <w:rPr>
          <w:sz w:val="22"/>
          <w:szCs w:val="22"/>
        </w:rPr>
        <w:t xml:space="preserve">the written fields of the documented anaesthesia plan including at least the intended type, the intended airway or regional strategy, the monitoring planned, and the plan if that strategy cannot be used</w:t>
      </w:r>
    </w:p>
    <w:p>
      <w:pPr>
        <w:pStyle w:val="ListParagraph"/>
        <w:numPr>
          <w:ilvl w:val="0"/>
          <w:numId w:val="1"/>
        </w:numPr>
        <w:spacing w:after="60"/>
      </w:pPr>
      <w:r>
        <w:rPr>
          <w:sz w:val="22"/>
          <w:szCs w:val="22"/>
        </w:rPr>
        <w:t xml:space="preserve">sample records against the unique identification number showing a plan written before anaesthesia was given, rather than a stamped PAC done, a heading titled plan with nothing under it, a plan that existed only in the practitioner's head, or a plan written after induction</w:t>
      </w:r>
    </w:p>
    <w:p>
      <w:pPr>
        <w:pStyle w:val="ListParagraph"/>
        <w:numPr>
          <w:ilvl w:val="0"/>
          <w:numId w:val="1"/>
        </w:numPr>
        <w:spacing w:after="60"/>
      </w:pPr>
      <w:r>
        <w:rPr>
          <w:sz w:val="22"/>
          <w:szCs w:val="22"/>
        </w:rPr>
        <w:t xml:space="preserve">emergency-anaesthetic records showing the assessment that was possible, the plan for that emergency, and the reason elective content was incomplete, recorded before induction so far as the emergency allowed</w:t>
      </w:r>
    </w:p>
    <w:p>
      <w:pPr>
        <w:pStyle w:val="ListParagraph"/>
        <w:numPr>
          <w:ilvl w:val="0"/>
          <w:numId w:val="1"/>
        </w:numPr>
        <w:spacing w:after="60"/>
      </w:pPr>
      <w:r>
        <w:rPr>
          <w:sz w:val="22"/>
          <w:szCs w:val="22"/>
        </w:rPr>
        <w:t xml:space="preserve">the recorded distinction that the pre-anaesthesia assessment produces the plan and the pre-induction assessment at step 3 confirms the patient as they are now, neither substituting for the other</w:t>
      </w:r>
    </w:p>
    <w:p>
      <w:pPr>
        <w:pStyle w:val="ListParagraph"/>
        <w:numPr>
          <w:ilvl w:val="0"/>
          <w:numId w:val="1"/>
        </w:numPr>
        <w:spacing w:after="60"/>
      </w:pPr>
      <w:r>
        <w:rPr>
          <w:sz w:val="22"/>
          <w:szCs w:val="22"/>
        </w:rPr>
        <w:t xml:space="preserve">the pre-anaesthesia assessment form or electronic template and where it is held</w:t>
      </w:r>
    </w:p>
    <w:p>
      <w:pPr>
        <w:pStyle w:val="ListParagraph"/>
        <w:numPr>
          <w:ilvl w:val="0"/>
          <w:numId w:val="1"/>
        </w:numPr>
        <w:spacing w:after="60"/>
      </w:pPr>
      <w:r>
        <w:rPr>
          <w:sz w:val="22"/>
          <w:szCs w:val="22"/>
        </w:rPr>
        <w:t xml:space="preserve">induction or briefing records showing anaesthesia staff have been shown that a stamp is not a plan</w:t>
      </w:r>
    </w:p>
    <w:p>
      <w:pPr>
        <w:pStyle w:val="ListParagraph"/>
        <w:numPr>
          <w:ilvl w:val="0"/>
          <w:numId w:val="1"/>
        </w:numPr>
        <w:spacing w:after="60"/>
      </w:pPr>
      <w:r>
        <w:rPr>
          <w:sz w:val="22"/>
          <w:szCs w:val="22"/>
        </w:rPr>
        <w:t xml:space="preserve">the audit sample at step 9 of a documented plan produced by the pre-anaesthesia assessment rather than a stamp</w:t>
      </w:r>
    </w:p>
    <w:p>
      <w:pPr>
        <w:spacing w:after="90" w:before="200"/>
      </w:pPr>
      <w:r>
        <w:rPr>
          <w:b/>
          <w:bCs/>
          <w:sz w:val="22"/>
          <w:szCs w:val="22"/>
        </w:rPr>
        <w:t xml:space="preserve">COP.10.c — A pre-induction assessment is performed and documented.</w:t>
      </w:r>
    </w:p>
    <w:p>
      <w:pPr>
        <w:pStyle w:val="ListParagraph"/>
        <w:numPr>
          <w:ilvl w:val="0"/>
          <w:numId w:val="1"/>
        </w:numPr>
        <w:spacing w:after="60"/>
      </w:pPr>
      <w:r>
        <w:rPr>
          <w:sz w:val="22"/>
          <w:szCs w:val="22"/>
        </w:rPr>
        <w:t xml:space="preserve">The named person who performs the pre-induction assessment</w:t>
      </w:r>
    </w:p>
    <w:p>
      <w:pPr>
        <w:pStyle w:val="ListParagraph"/>
        <w:numPr>
          <w:ilvl w:val="0"/>
          <w:numId w:val="1"/>
        </w:numPr>
        <w:spacing w:after="60"/>
      </w:pPr>
      <w:r>
        <w:rPr>
          <w:sz w:val="22"/>
          <w:szCs w:val="22"/>
        </w:rPr>
        <w:t xml:space="preserve">the written content (identity, consent present, review of the documented plan, any change that alters the plan)</w:t>
      </w:r>
    </w:p>
    <w:p>
      <w:pPr>
        <w:pStyle w:val="ListParagraph"/>
        <w:numPr>
          <w:ilvl w:val="0"/>
          <w:numId w:val="1"/>
        </w:numPr>
        <w:spacing w:after="60"/>
      </w:pPr>
      <w:r>
        <w:rPr>
          <w:sz w:val="22"/>
          <w:szCs w:val="22"/>
        </w:rPr>
        <w:t xml:space="preserve">sample records dated immediately before induction, distinct from the earlier pre-anaesthesia assessment</w:t>
      </w:r>
    </w:p>
    <w:p>
      <w:pPr>
        <w:pStyle w:val="ListParagraph"/>
        <w:numPr>
          <w:ilvl w:val="0"/>
          <w:numId w:val="1"/>
        </w:numPr>
        <w:spacing w:after="60"/>
      </w:pPr>
      <w:r>
        <w:rPr>
          <w:sz w:val="22"/>
          <w:szCs w:val="22"/>
        </w:rPr>
        <w:t xml:space="preserve">records of a change that altered the plan written before induction proceeded</w:t>
      </w:r>
    </w:p>
    <w:p>
      <w:pPr>
        <w:spacing w:after="90" w:before="200"/>
      </w:pPr>
      <w:r>
        <w:rPr>
          <w:b/>
          <w:bCs/>
          <w:sz w:val="22"/>
          <w:szCs w:val="22"/>
        </w:rPr>
        <w:t xml:space="preserve">COP.10.d — Informed consent for administration of anaesthesia, is obtained.</w:t>
      </w:r>
    </w:p>
    <w:p>
      <w:pPr>
        <w:pStyle w:val="ListParagraph"/>
        <w:numPr>
          <w:ilvl w:val="0"/>
          <w:numId w:val="1"/>
        </w:numPr>
        <w:spacing w:after="60"/>
      </w:pPr>
      <w:r>
        <w:rPr>
          <w:sz w:val="22"/>
          <w:szCs w:val="22"/>
        </w:rPr>
        <w:t xml:space="preserve">The written method of recording anaesthesia consent</w:t>
      </w:r>
    </w:p>
    <w:p>
      <w:pPr>
        <w:pStyle w:val="ListParagraph"/>
        <w:numPr>
          <w:ilvl w:val="0"/>
          <w:numId w:val="1"/>
        </w:numPr>
        <w:spacing w:after="60"/>
      </w:pPr>
      <w:r>
        <w:rPr>
          <w:sz w:val="22"/>
          <w:szCs w:val="22"/>
        </w:rPr>
        <w:t xml:space="preserve">sample records showing consent present before induction, including where the patient was a child or could not consent</w:t>
      </w:r>
    </w:p>
    <w:p>
      <w:pPr>
        <w:pStyle w:val="ListParagraph"/>
        <w:numPr>
          <w:ilvl w:val="0"/>
          <w:numId w:val="1"/>
        </w:numPr>
        <w:spacing w:after="60"/>
      </w:pPr>
      <w:r>
        <w:rPr>
          <w:sz w:val="22"/>
          <w:szCs w:val="22"/>
        </w:rPr>
        <w:t xml:space="preserve">records showing a surgical consent silent on anaesthesia, or a signature after induction, was not treated as anaesthesia consent</w:t>
      </w:r>
    </w:p>
    <w:p>
      <w:pPr>
        <w:pStyle w:val="ListParagraph"/>
        <w:numPr>
          <w:ilvl w:val="0"/>
          <w:numId w:val="1"/>
        </w:numPr>
        <w:spacing w:after="60"/>
      </w:pPr>
      <w:r>
        <w:rPr>
          <w:sz w:val="22"/>
          <w:szCs w:val="22"/>
        </w:rPr>
        <w:t xml:space="preserve">the recorded division that patient-rights policies own the consent method and this policy owns that anaesthesia consent happened before induction</w:t>
      </w:r>
    </w:p>
    <w:p>
      <w:pPr>
        <w:spacing w:after="90" w:before="200"/>
      </w:pPr>
      <w:r>
        <w:rPr>
          <w:b/>
          <w:bCs/>
          <w:sz w:val="22"/>
          <w:szCs w:val="22"/>
        </w:rPr>
        <w:t xml:space="preserve">COP.10.e — Patients are monitored while under anaesthesia.</w:t>
      </w:r>
    </w:p>
    <w:p>
      <w:pPr>
        <w:pStyle w:val="ListParagraph"/>
        <w:numPr>
          <w:ilvl w:val="0"/>
          <w:numId w:val="1"/>
        </w:numPr>
        <w:spacing w:after="60"/>
      </w:pPr>
      <w:r>
        <w:rPr>
          <w:sz w:val="22"/>
          <w:szCs w:val="22"/>
        </w:rPr>
        <w:t xml:space="preserve">The written parameters monitored while the patient is under anaesthesia and the recording interval, covering the period from induction until handover to recovery, showing this hospital's named parameters rather than a pasted ASA numeric table, and showing that a parameter which could not be obtained was recorded as such with the reason</w:t>
      </w:r>
    </w:p>
    <w:p>
      <w:pPr>
        <w:pStyle w:val="ListParagraph"/>
        <w:numPr>
          <w:ilvl w:val="0"/>
          <w:numId w:val="1"/>
        </w:numPr>
        <w:spacing w:after="60"/>
      </w:pPr>
      <w:r>
        <w:rPr>
          <w:sz w:val="22"/>
          <w:szCs w:val="22"/>
        </w:rPr>
        <w:t xml:space="preserve">sample contemporaneous monitoring records against the unique identification number for the whole of the anaesthetic, rather than a machine that was in the room with no record, a record that started after induction or stopped before emergence, or a paper chart filled in at the end of the case from memory</w:t>
      </w:r>
    </w:p>
    <w:p>
      <w:pPr>
        <w:pStyle w:val="ListParagraph"/>
        <w:numPr>
          <w:ilvl w:val="0"/>
          <w:numId w:val="1"/>
        </w:numPr>
        <w:spacing w:after="60"/>
      </w:pPr>
      <w:r>
        <w:rPr>
          <w:sz w:val="22"/>
          <w:szCs w:val="22"/>
        </w:rPr>
        <w:t xml:space="preserve">the recorded rule that filling the chart at the end is reconstruction and is not monitoring while under anaesthesia</w:t>
      </w:r>
    </w:p>
    <w:p>
      <w:pPr>
        <w:pStyle w:val="ListParagraph"/>
        <w:numPr>
          <w:ilvl w:val="0"/>
          <w:numId w:val="1"/>
        </w:numPr>
        <w:spacing w:after="60"/>
      </w:pPr>
      <w:r>
        <w:rPr>
          <w:sz w:val="22"/>
          <w:szCs w:val="22"/>
        </w:rPr>
        <w:t xml:space="preserve">the location of the anaesthesia monitoring record</w:t>
      </w:r>
    </w:p>
    <w:p>
      <w:pPr>
        <w:pStyle w:val="ListParagraph"/>
        <w:numPr>
          <w:ilvl w:val="0"/>
          <w:numId w:val="1"/>
        </w:numPr>
        <w:spacing w:after="60"/>
      </w:pPr>
      <w:r>
        <w:rPr>
          <w:sz w:val="22"/>
          <w:szCs w:val="22"/>
        </w:rPr>
        <w:t xml:space="preserve">the recorded distinction that SSI-bundle temperature and glycaemia measures remain under the prevention-of-healthcare-associated-infection policy even when the anaesthetist is the person who maintains them</w:t>
      </w:r>
    </w:p>
    <w:p>
      <w:pPr>
        <w:pStyle w:val="ListParagraph"/>
        <w:numPr>
          <w:ilvl w:val="0"/>
          <w:numId w:val="1"/>
        </w:numPr>
        <w:spacing w:after="60"/>
      </w:pPr>
      <w:r>
        <w:rPr>
          <w:sz w:val="22"/>
          <w:szCs w:val="22"/>
        </w:rPr>
        <w:t xml:space="preserve">where regional anaesthesia is provided, identity and site checks before a block, with surgical wrong-site method left to the procedures policy</w:t>
      </w:r>
    </w:p>
    <w:p>
      <w:pPr>
        <w:pStyle w:val="ListParagraph"/>
        <w:numPr>
          <w:ilvl w:val="0"/>
          <w:numId w:val="1"/>
        </w:numPr>
        <w:spacing w:after="60"/>
      </w:pPr>
      <w:r>
        <w:rPr>
          <w:sz w:val="22"/>
          <w:szCs w:val="22"/>
        </w:rPr>
        <w:t xml:space="preserve">induction or briefing records showing anaesthesia staff have been shown that contemporaneous recording is required</w:t>
      </w:r>
    </w:p>
    <w:p>
      <w:pPr>
        <w:pStyle w:val="ListParagraph"/>
        <w:numPr>
          <w:ilvl w:val="0"/>
          <w:numId w:val="1"/>
        </w:numPr>
        <w:spacing w:after="60"/>
      </w:pPr>
      <w:r>
        <w:rPr>
          <w:sz w:val="22"/>
          <w:szCs w:val="22"/>
        </w:rPr>
        <w:t xml:space="preserve">the audit sample at step 9 of contemporaneous monitoring while under anaesthesia rather than a reconstructed chart</w:t>
      </w:r>
    </w:p>
    <w:p>
      <w:pPr>
        <w:spacing w:after="90" w:before="200"/>
      </w:pPr>
      <w:r>
        <w:rPr>
          <w:b/>
          <w:bCs/>
          <w:sz w:val="22"/>
          <w:szCs w:val="22"/>
        </w:rPr>
        <w:t xml:space="preserve">COP.10.f — Post anaesthesia monitoring is documented, and patients are discharged from the recovery area based on objective criteria.</w:t>
      </w:r>
    </w:p>
    <w:p>
      <w:pPr>
        <w:pStyle w:val="ListParagraph"/>
        <w:numPr>
          <w:ilvl w:val="0"/>
          <w:numId w:val="1"/>
        </w:numPr>
        <w:spacing w:after="60"/>
      </w:pPr>
      <w:r>
        <w:rPr>
          <w:sz w:val="22"/>
          <w:szCs w:val="22"/>
        </w:rPr>
        <w:t xml:space="preserve">The named recovery area used after anaesthesia, showing it is not a corridor or an unmonitored waiting chair, with the move into recovery using the internal-transfer method of the continuity-of-care policy</w:t>
      </w:r>
    </w:p>
    <w:p>
      <w:pPr>
        <w:pStyle w:val="ListParagraph"/>
        <w:numPr>
          <w:ilvl w:val="0"/>
          <w:numId w:val="1"/>
        </w:numPr>
        <w:spacing w:after="60"/>
      </w:pPr>
      <w:r>
        <w:rPr>
          <w:sz w:val="22"/>
          <w:szCs w:val="22"/>
        </w:rPr>
        <w:t xml:space="preserve">the written post-anaesthesia observations and objective criteria for discharge from the recovery area, showing a stated set of observations and conditions rather than a mandated named recovery score, and showing that a patient who does not meet them is not discharged because the next case is waiting or because the porter has arrived</w:t>
      </w:r>
    </w:p>
    <w:p>
      <w:pPr>
        <w:pStyle w:val="ListParagraph"/>
        <w:numPr>
          <w:ilvl w:val="0"/>
          <w:numId w:val="1"/>
        </w:numPr>
        <w:spacing w:after="60"/>
      </w:pPr>
      <w:r>
        <w:rPr>
          <w:sz w:val="22"/>
          <w:szCs w:val="22"/>
        </w:rPr>
        <w:t xml:space="preserve">the named person who judges discharge</w:t>
      </w:r>
    </w:p>
    <w:p>
      <w:pPr>
        <w:pStyle w:val="ListParagraph"/>
        <w:numPr>
          <w:ilvl w:val="0"/>
          <w:numId w:val="1"/>
        </w:numPr>
        <w:spacing w:after="60"/>
      </w:pPr>
      <w:r>
        <w:rPr>
          <w:sz w:val="22"/>
          <w:szCs w:val="22"/>
        </w:rPr>
        <w:t xml:space="preserve">sample recovery records against the unique identification number showing observations documented and discharge citing the criteria</w:t>
      </w:r>
    </w:p>
    <w:p>
      <w:pPr>
        <w:pStyle w:val="ListParagraph"/>
        <w:numPr>
          <w:ilvl w:val="0"/>
          <w:numId w:val="1"/>
        </w:numPr>
        <w:spacing w:after="60"/>
      </w:pPr>
      <w:r>
        <w:rPr>
          <w:sz w:val="22"/>
          <w:szCs w:val="22"/>
        </w:rPr>
        <w:t xml:space="preserve">the recorded distinction that this step is not COP.9.e (sedation recovery) and is not discharge from the organisation (AAC.8)</w:t>
      </w:r>
    </w:p>
    <w:p>
      <w:pPr>
        <w:pStyle w:val="ListParagraph"/>
        <w:numPr>
          <w:ilvl w:val="0"/>
          <w:numId w:val="1"/>
        </w:numPr>
        <w:spacing w:after="60"/>
      </w:pPr>
      <w:r>
        <w:rPr>
          <w:sz w:val="22"/>
          <w:szCs w:val="22"/>
        </w:rPr>
        <w:t xml:space="preserve">the location where the recovery criteria are held</w:t>
      </w:r>
    </w:p>
    <w:p>
      <w:pPr>
        <w:pStyle w:val="ListParagraph"/>
        <w:numPr>
          <w:ilvl w:val="0"/>
          <w:numId w:val="1"/>
        </w:numPr>
        <w:spacing w:after="60"/>
      </w:pPr>
      <w:r>
        <w:rPr>
          <w:sz w:val="22"/>
          <w:szCs w:val="22"/>
        </w:rPr>
        <w:t xml:space="preserve">induction or briefing records showing recovery staff have been shown that a porter-timed discharge is not the method</w:t>
      </w:r>
    </w:p>
    <w:p>
      <w:pPr>
        <w:pStyle w:val="ListParagraph"/>
        <w:numPr>
          <w:ilvl w:val="0"/>
          <w:numId w:val="1"/>
        </w:numPr>
        <w:spacing w:after="60"/>
      </w:pPr>
      <w:r>
        <w:rPr>
          <w:sz w:val="22"/>
          <w:szCs w:val="22"/>
        </w:rPr>
        <w:t xml:space="preserve">the audit sample at step 9 of recovery discharge against objective criteria</w:t>
      </w:r>
    </w:p>
    <w:p>
      <w:pPr>
        <w:spacing w:after="90" w:before="200"/>
      </w:pPr>
      <w:r>
        <w:rPr>
          <w:b/>
          <w:bCs/>
          <w:sz w:val="22"/>
          <w:szCs w:val="22"/>
        </w:rPr>
        <w:t xml:space="preserve">COP.10.g — The type of anaesthesia and anaesthetic medications used are documented in the patient record.</w:t>
      </w:r>
    </w:p>
    <w:p>
      <w:pPr>
        <w:pStyle w:val="ListParagraph"/>
        <w:numPr>
          <w:ilvl w:val="0"/>
          <w:numId w:val="1"/>
        </w:numPr>
        <w:spacing w:after="60"/>
      </w:pPr>
      <w:r>
        <w:rPr>
          <w:sz w:val="22"/>
          <w:szCs w:val="22"/>
        </w:rPr>
        <w:t xml:space="preserve">The written method of recording type and medicines</w:t>
      </w:r>
    </w:p>
    <w:p>
      <w:pPr>
        <w:pStyle w:val="ListParagraph"/>
        <w:numPr>
          <w:ilvl w:val="0"/>
          <w:numId w:val="1"/>
        </w:numPr>
        <w:spacing w:after="60"/>
      </w:pPr>
      <w:r>
        <w:rPr>
          <w:sz w:val="22"/>
          <w:szCs w:val="22"/>
        </w:rPr>
        <w:t xml:space="preserve">sample records showing the type actually given (and a difference from the planned type where it occurred) and the anaesthetic medicines used, against the unique identification number</w:t>
      </w:r>
    </w:p>
    <w:p>
      <w:pPr>
        <w:pStyle w:val="ListParagraph"/>
        <w:numPr>
          <w:ilvl w:val="0"/>
          <w:numId w:val="1"/>
        </w:numPr>
        <w:spacing w:after="60"/>
      </w:pPr>
      <w:r>
        <w:rPr>
          <w:sz w:val="22"/>
          <w:szCs w:val="22"/>
        </w:rPr>
        <w:t xml:space="preserve">the recorded division that medication policies own storage and the controlled-drug account and this step owns the anaesthetic-care record content</w:t>
      </w:r>
    </w:p>
    <w:p>
      <w:pPr>
        <w:spacing w:after="90" w:before="200"/>
      </w:pPr>
      <w:r>
        <w:rPr>
          <w:b/>
          <w:bCs/>
          <w:sz w:val="22"/>
          <w:szCs w:val="22"/>
        </w:rPr>
        <w:t xml:space="preserve">COP.10.h — Intra-operative adverse anaesthesia events are recorded and monitored.</w:t>
      </w:r>
    </w:p>
    <w:p>
      <w:pPr>
        <w:pStyle w:val="ListParagraph"/>
        <w:numPr>
          <w:ilvl w:val="0"/>
          <w:numId w:val="1"/>
        </w:numPr>
        <w:spacing w:after="60"/>
      </w:pPr>
      <w:r>
        <w:rPr>
          <w:sz w:val="22"/>
          <w:szCs w:val="22"/>
        </w:rPr>
        <w:t xml:space="preserve">The written definition of an intra-operative adverse anaesthesia event, the recording method in the patient record and in the event register or equivalent, and the review forum</w:t>
      </w:r>
    </w:p>
    <w:p>
      <w:pPr>
        <w:pStyle w:val="ListParagraph"/>
        <w:numPr>
          <w:ilvl w:val="0"/>
          <w:numId w:val="1"/>
        </w:numPr>
        <w:spacing w:after="60"/>
      </w:pPr>
      <w:r>
        <w:rPr>
          <w:sz w:val="22"/>
          <w:szCs w:val="22"/>
        </w:rPr>
        <w:t xml:space="preserve">sample event records and review minutes with corrective action</w:t>
      </w:r>
    </w:p>
    <w:p>
      <w:pPr>
        <w:pStyle w:val="ListParagraph"/>
        <w:numPr>
          <w:ilvl w:val="0"/>
          <w:numId w:val="1"/>
        </w:numPr>
        <w:spacing w:after="60"/>
      </w:pPr>
      <w:r>
        <w:rPr>
          <w:sz w:val="22"/>
          <w:szCs w:val="22"/>
        </w:rPr>
        <w:t xml:space="preserve">the audit sample at step 9 of adverse events recorded where they occurred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Medical Commission Act, 2019, insofar as it governs who may administer anaesthesia.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HMP/COP/POL-10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2026-08-17T10:15:54.610Z</dcterms:created>
  <dcterms:modified xsi:type="dcterms:W3CDTF">2026-08-17T10:15:54.610Z</dcterms:modified>
</cp:coreProperties>
</file>

<file path=docProps/custom.xml><?xml version="1.0" encoding="utf-8"?>
<Properties xmlns="http://schemas.openxmlformats.org/officeDocument/2006/custom-properties" xmlns:vt="http://schemas.openxmlformats.org/officeDocument/2006/docPropsVTypes"/>
</file>