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End-of-Life Care</w:t>
      </w:r>
    </w:p>
    <w:p>
      <w:pPr>
        <w:spacing w:after="240"/>
        <w:jc w:val="center"/>
      </w:pPr>
      <w:r>
        <w:rPr>
          <w:i/>
          <w:iCs/>
          <w:sz w:val="20"/>
          <w:szCs w:val="20"/>
        </w:rPr>
        <w:t xml:space="preserve">HCO Full Accreditation, 6th Edition — COP.20.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«HCO/COP/POL/20»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End-of-life care is provided in a compassionate and considerate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COP.20: End-of-life care is provided in a compassionate and considerate manner.</w:t>
      </w:r>
    </w:p>
    <w:p>
      <w:pPr>
        <w:spacing w:after="140"/>
      </w:pPr>
      <w:r>
        <w:rPr>
          <w:sz w:val="22"/>
          <w:szCs w:val="22"/>
        </w:rPr>
        <w:t xml:space="preserve">It covers objective elements COP.20.a–e (5 elements).</w:t>
      </w:r>
    </w:p>
    <w:p>
      <w:pPr>
        <w:spacing w:after="140"/>
      </w:pPr>
      <w:r>
        <w:rPr>
          <w:sz w:val="22"/>
          <w:szCs w:val="22"/>
        </w:rPr>
        <w:t xml:space="preserve">This policy owns COP.20.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COP.20 at «Hospital Name», including the «Palliative / End-of-Life Care Lead», treating doctors, nurses and the Quality Coordinator.</w:t>
      </w:r>
    </w:p>
    <w:p>
      <w:pPr>
        <w:spacing w:after="140"/>
      </w:pPr>
      <w:r>
        <w:rPr>
          <w:sz w:val="22"/>
          <w:szCs w:val="22"/>
        </w:rPr>
        <w:t xml:space="preserve">It covers 5 objective elements (COP.20.a, COP.20.b, COP.20.c, COP.20.d, COP.20.e).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COP.20 so that end-of-life care is provided in a compassionate and considerate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End-of-life care is provided in a consistent manner in the organisation.</w:t>
      </w:r>
    </w:p>
    <w:p>
      <w:pPr>
        <w:spacing w:after="80"/>
      </w:pPr>
      <w:r>
        <w:rPr>
          <w:sz w:val="22"/>
          <w:szCs w:val="22"/>
        </w:rPr>
        <w:t xml:space="preserve">2. Do not skip: A multi-professional approach is used to provide end-of-life care.</w:t>
      </w:r>
    </w:p>
    <w:p>
      <w:pPr>
        <w:spacing w:after="80"/>
      </w:pPr>
      <w:r>
        <w:rPr>
          <w:sz w:val="22"/>
          <w:szCs w:val="22"/>
        </w:rPr>
        <w:t xml:space="preserve">3. Do not skip: End-of-life care is in consonance with the legal requirements.</w:t>
      </w:r>
    </w:p>
    <w:p>
      <w:pPr>
        <w:spacing w:after="80"/>
      </w:pPr>
      <w:r>
        <w:rPr>
          <w:sz w:val="22"/>
          <w:szCs w:val="22"/>
        </w:rPr>
        <w:t xml:space="preserve">4. Do not skip: End-of-life care also addresses the identification of the unique needs of such patient and family.</w:t>
      </w:r>
    </w:p>
    <w:p>
      <w:pPr>
        <w:spacing w:after="80"/>
      </w:pPr>
      <w:r>
        <w:rPr>
          <w:sz w:val="22"/>
          <w:szCs w:val="22"/>
        </w:rPr>
        <w:t xml:space="preserve">5. Do not skip: Symptomatic treatment is provided and where appropriate measures are taken for the alleviation of pain. Ref...</w:t>
      </w:r>
    </w:p>
    <w:p>
      <w:pPr>
        <w:spacing w:after="80"/>
      </w:pPr>
      <w:r>
        <w:rPr>
          <w:sz w:val="22"/>
          <w:szCs w:val="22"/>
        </w:rPr>
        <w:t xml:space="preserve">6. Staff who see a COP.20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End-of-life care is provided in a consistent manner in the organisation</w:t>
      </w:r>
    </w:p>
    <w:p>
      <w:pPr>
        <w:spacing w:after="140"/>
      </w:pPr>
      <w:r>
        <w:rPr>
          <w:sz w:val="22"/>
          <w:szCs w:val="22"/>
        </w:rPr>
        <w:t xml:space="preserve">End-of-life care is provided in a consistent manner in the organisation.</w:t>
      </w:r>
    </w:p>
    <w:p>
      <w:pPr>
        <w:spacing w:after="140"/>
      </w:pPr>
      <w:r>
        <w:rPr>
          <w:sz w:val="22"/>
          <w:szCs w:val="22"/>
        </w:rPr>
        <w:t xml:space="preserve">Method note (from guidebook interpretation): The team could include a doctor, nurse, clinical psychologist,</w:t>
      </w:r>
    </w:p>
    <w:p>
      <w:pPr>
        <w:pStyle w:val="Heading2"/>
        <w:spacing w:after="100" w:before="220"/>
      </w:pPr>
      <w:r>
        <w:t xml:space="preserve">5.2 A multi-professional approach is used to provide end-of-life care</w:t>
      </w:r>
    </w:p>
    <w:p>
      <w:pPr>
        <w:spacing w:after="140"/>
      </w:pPr>
      <w:r>
        <w:rPr>
          <w:sz w:val="22"/>
          <w:szCs w:val="22"/>
        </w:rPr>
        <w:t xml:space="preserve">A multi-professional approach is used to provide end-of-life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End-of-life care is in consonance with the legal requirements</w:t>
      </w:r>
    </w:p>
    <w:p>
      <w:pPr>
        <w:spacing w:after="140"/>
      </w:pPr>
      <w:r>
        <w:rPr>
          <w:sz w:val="22"/>
          <w:szCs w:val="22"/>
        </w:rPr>
        <w:t xml:space="preserve">End-of-life care is in consonance with the legal requirements.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End-of-life care also addresses the identification of the unique need..</w:t>
      </w:r>
    </w:p>
    <w:p>
      <w:pPr>
        <w:spacing w:after="140"/>
      </w:pPr>
      <w:r>
        <w:rPr>
          <w:sz w:val="22"/>
          <w:szCs w:val="22"/>
        </w:rPr>
        <w:t xml:space="preserve">End-of-life care also addresses the identification of the unique needs of such patient and family.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Symptomatic treatment is provided and where appropriate measures are ..</w:t>
      </w:r>
    </w:p>
    <w:p>
      <w:pPr>
        <w:spacing w:after="140"/>
      </w:pPr>
      <w:r>
        <w:rPr>
          <w:sz w:val="22"/>
          <w:szCs w:val="22"/>
        </w:rPr>
        <w:t xml:space="preserve">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COP.20 is resourced and followed.</w:t>
      </w:r>
    </w:p>
    <w:p>
      <w:pPr>
        <w:pStyle w:val="ListParagraph"/>
        <w:numPr>
          <w:ilvl w:val="0"/>
          <w:numId w:val="1"/>
        </w:numPr>
        <w:spacing w:after="60"/>
      </w:pPr>
      <w:r>
        <w:rPr>
          <w:sz w:val="22"/>
          <w:szCs w:val="22"/>
        </w:rPr>
        <w:t xml:space="preserve">Palliative / End-of-Life Care Lead</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COP.20.a–e.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End-of-Life Care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COP.20.</w:t>
      </w:r>
    </w:p>
    <w:p>
      <w:pPr>
        <w:pStyle w:val="ListParagraph"/>
        <w:numPr>
          <w:ilvl w:val="0"/>
          <w:numId w:val="1"/>
        </w:numPr>
        <w:spacing w:after="60"/>
      </w:pPr>
      <w:r>
        <w:rPr>
          <w:sz w:val="22"/>
          <w:szCs w:val="22"/>
        </w:rPr>
        <w:t xml:space="preserve">NABH Guidebook to Accreditation Standards for Hospitals, 6th Edition — COP.20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COP.20.</w:t>
      </w:r>
    </w:p>
    <w:p>
      <w:pPr>
        <w:pStyle w:val="Heading1"/>
        <w:spacing w:after="120" w:before="280"/>
      </w:pPr>
      <w:r>
        <w:t xml:space="preserve">10. Distribution</w:t>
      </w:r>
    </w:p>
    <w:p>
      <w:pPr>
        <w:spacing w:after="140"/>
      </w:pPr>
      <w:r>
        <w:rPr>
          <w:sz w:val="22"/>
          <w:szCs w:val="22"/>
        </w:rPr>
        <w:t xml:space="preserve">Medical Superintendent; Palliative / End-of-Life Care Lead; Quality Coordinator; department clinical staff covered by COP.20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COP.20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provided in a consistent manner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multi-professional approach is used to provide end-of-life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is in consonance with the legal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End-of-life care also addresses the identification of the unique needs of such patient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Palliative / End-of-Life Care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COP.20.a — End-of-life care is provided in a consistent manner in the organisation.</w:t>
      </w:r>
    </w:p>
    <w:p>
      <w:pPr>
        <w:pStyle w:val="ListParagraph"/>
        <w:numPr>
          <w:ilvl w:val="0"/>
          <w:numId w:val="1"/>
        </w:numPr>
        <w:spacing w:after="60"/>
      </w:pPr>
      <w:r>
        <w:rPr>
          <w:sz w:val="22"/>
          <w:szCs w:val="22"/>
        </w:rPr>
        <w:t xml:space="preserve">Records showing COP.20.a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COP.20.b — A multi-professional approach is used to provide end-of-life care.</w:t>
      </w:r>
    </w:p>
    <w:p>
      <w:pPr>
        <w:pStyle w:val="ListParagraph"/>
        <w:numPr>
          <w:ilvl w:val="0"/>
          <w:numId w:val="1"/>
        </w:numPr>
        <w:spacing w:after="60"/>
      </w:pPr>
      <w:r>
        <w:rPr>
          <w:sz w:val="22"/>
          <w:szCs w:val="22"/>
        </w:rPr>
        <w:t xml:space="preserve">Records showing COP.20.b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COP.20.b reviewed «quarterly».</w:t>
      </w:r>
    </w:p>
    <w:p>
      <w:pPr>
        <w:pStyle w:val="Heading2"/>
        <w:spacing w:after="100" w:before="220"/>
      </w:pPr>
      <w:r>
        <w:t xml:space="preserve">COP.20.c — End-of-life care is in consonance with the legal requirements.</w:t>
      </w:r>
    </w:p>
    <w:p>
      <w:pPr>
        <w:pStyle w:val="ListParagraph"/>
        <w:numPr>
          <w:ilvl w:val="0"/>
          <w:numId w:val="1"/>
        </w:numPr>
        <w:spacing w:after="60"/>
      </w:pPr>
      <w:r>
        <w:rPr>
          <w:sz w:val="22"/>
          <w:szCs w:val="22"/>
        </w:rPr>
        <w:t xml:space="preserve">Records showing COP.20.c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COP.20.c reviewed «quarterly».</w:t>
      </w:r>
    </w:p>
    <w:p>
      <w:pPr>
        <w:pStyle w:val="Heading2"/>
        <w:spacing w:after="100" w:before="220"/>
      </w:pPr>
      <w:r>
        <w:t xml:space="preserve">COP.20.d — End-of-life care also addresses the identification of the unique needs of such patient and family.</w:t>
      </w:r>
    </w:p>
    <w:p>
      <w:pPr>
        <w:pStyle w:val="ListParagraph"/>
        <w:numPr>
          <w:ilvl w:val="0"/>
          <w:numId w:val="1"/>
        </w:numPr>
        <w:spacing w:after="60"/>
      </w:pPr>
      <w:r>
        <w:rPr>
          <w:sz w:val="22"/>
          <w:szCs w:val="22"/>
        </w:rPr>
        <w:t xml:space="preserve">Records showing COP.20.d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COP.20.d reviewed «quarterly».</w:t>
      </w:r>
    </w:p>
    <w:p>
      <w:pPr>
        <w:pStyle w:val="Heading2"/>
        <w:spacing w:after="100" w:before="220"/>
      </w:pPr>
      <w:r>
        <w:t xml:space="preserve">COP.20.e — Symptomatic treatment is provided and where appropriate measures are taken for the alleviation of pain. References 1. Bartoli F, Dell'Osso B, Crocamo C, Fiorillo A, Ketter TA, Suppes T, Clerici M, Carra G. Benefits and harms of low and high second-generation antipsychotics doses for bipolar depression: a meta-analysis. Journal of Psychiatric Research. 2017 May 1;88:38-46. 2. Kulju S, Morrish W, King L, Bender J, Gunnar W. Patient misidentification events in the Veterans Health Administration: a comprehensive review in the context of high-reliability health care. Journal of Patient Safety. 2022 Jan 1;18(1):e290-6. 3. Sutton E, Armstrong N, Locock L, Conroy S, Tarrant C. Visual identifiers for people with dementia in hospitals: a qualitative study to unravel mechanisms of action for improving quality of care. BMJ Quality &amp; Safety. 2023 May 25. 4. Brubakk K, Vist GE, Bukholm G, Barach P, Tjomsland O. A systematic review of hospital accreditation: the challenges of measuring complex intervention effects. BMC health services research. 2015 Dec;15:1-0. 5. Lam MB, Figueroa JF, Feyman Y, Reimold KE, Orav EJ, Jha AK. Association between patient outcomes and accreditation in US hospitals: observational study. bmj. 2018 Oct 18;363. 6. Duffy M, Shaefer HL. In the aftermath of the storm: Administrative burden in disaster recovery. Social service review. 2022 Sep 1;96(3):507-33. 7. Chua CM, Ko SQ, Lai YF, Lim YW, Shorey S. Perceptions of stakeholders toward “hospital at home” program in Singapore: a descriptive qualitative study. Journal of Patient Safety. 2022 Apr 1;18(3):e606- 12. 8. Banning S, Höglinger M, Meyer D, Reich O. Evaluation of the Effect of a Multifunctional Telemedicine Device on Health Care Use and Costs: A Nonrandomized Pragmatic Trial. Telemedicine and e-Health. 2023 Apr 1;29(4):510-7. 9. Haleem A, Javaid M, Singh RP, Suman R. Telemedicine for healthcare: Capabilities, features, barriers, and applications. Sensors international. 2021 Jan 1;2:100117. 10. Cipakova I, Jurcik M, Rubintova V, Borbova M, Mikolaskova B, Jurcik J, Bellova J, Barath P, Gregan J, Cipak L. Identification of proteins associated with splicing factors Ntr1, Ntr2, Brr2 and Gpl1 in the fission yeast Schizosaccharomyces pombe. Cell Cycle. 2019 Jul 18;18(14):1532-6. 11. Kneyber MC. Hematologic Emergencies in the PICU. Pediatric Critical Care Medicine: Volume 3: Gastroenterological, Endocrine, Renal, Hematologic, Oncologic and Immune Systems. 2014:287-96. 12. Weng SJ, Wu CL, Gotcher DF, Liu SC, Yang KF, Kim SH. Impact on Patient Safety Culture by the Intervention of Multidisciplinary Medical Teams. Journal of Patient Safety. 2022 Apr 1;18(3):e601-5. Another citation in same – ---Bittencourt PL, Codes L, César AM, Mussi FC, Ferraz ML. Telemonitoring of the Continuum of Care of Hepatitis C During the COVID-19 Pandemic in Brazil. Telemedicine and e-Health. 2023 Mar 9. 13. Burgess L, Ray-Barruel G, Kynoch K. Association between emergency department length of stay and patient outcomes: a systematic review. Research in Nursing &amp; Health. 2022 Feb;45(1):59-93. 14. Hyvämäki P, Kääriäinen M, Tuomikoski AM, Pikkarainen M, Jansson M. Registered Nurses’ and Medical Doctors’ Experiences of Patient Safety in Health Information Exchange During Interorganizational Care Transitions: A Qualitative Review. Journal of Patient Safety. 2022 Apr 1;18(3):210-24. 15. El Abd A, Schwab C, Clementz A, Fernandez C, Hindlet P. Safety of elderly fallers: identifying associated risk factors for 30-day unplanned readmissions using a clinical data Warehouse. Journal of patient safety. 2022 Apr 1;18(3):230-6. 16. Pourreza A, Mosadeghrad AM, Zoleikani P. The impact of accreditation on the performance of hospital emergency departments. Journal of Health Based Research. 2017 Dec 10;3(3):277-95. 17. The Impact of Electronic Triage Systems on Patient; Outcomes in the Emergency Department: A Systematic Review; Authors: Lee, J. H., Kim, S. Y., &amp; Cho, S. H.; Journal of Emergency Medicine; Volume: 44;Issue: 5;Pages: 825-833 DOI: 10.1016/j.jemermed.2023.02.016 18. Beeson MS, Bhat R, Broder JS, Gaeta TJ, Janssen A, Karl ER, Lo BM, Moll J, Oh L, Patel V, Touma L. The 2022 model of the clinical practice of emergency medicine. Journal of Emergency Medicine. 2023 Jun 1;64(6):659-95. 19. The Impact of Reassessment of Patients in the Emergency Department on Patient Outcomes: A Systematic Review and Meta-Analysis; Wang, Y., Zhang, Y., Li, Y., Zhang, J., &amp; Liu, Y.; PLoS One; V17,Issue 2; DOI: 10.1371/journal.pone.0171800 20. Management of Patients Found Dead on Arrival and Patients Who Die Within a Few Minutes of Arrival in the Emergency Department: A Review of Literature and Best Practices; Authors: Jha, A., &amp; Singh, S.; Journal: Indian Journal of Medical Ethics; Volume: 16; Issue: 1; Pages: 4-10; Publication Date: January 2023 DOI: 10.1180/20087420.0160101 21. Bove DG, Sørensen N, Timm H, Herling SF, Gjersøe P. Patient characteristics of persons dead on arrival received in a Danish emergency department: A retrospective review of health records. Journal of emergency nursing. 2021 Jul 1;47(4):582-9. 22. World Health Organization (WHO): Requirements for Emergency Ambulance Services: A Review of Standards and; Best Practices (2022); 23. World Health Organisation. Classification and minimum standards for emergency medical teams.202. [cited 2023 Dec 4]. Available from: https://extranet.who.int/emt/sites/default/files/BlueBook2021.pdf 24. National Association of Emergency Medical Technicians (NAEMT): EMS Systems (2023) 25. NASEMSO Medical Directors Council.National Model EMS Clinical Guidelines. Mar 2022. [cited 2023 Dec 4]. Available from: https://nasemso.org/wp-content/uploads/National-Model-EMS-Clinical- Guidelines_2022.pdfInternational 26. Organisation for Standardization (ISO): ISO 17668-1:2014: Road vehicles -- Emergency ambulances -- Part 1: Requirements 27. American Heart Association (AHA): Guidelines for Cardiopulmonary Resuscitation and; Emergency Cardiovascular Care (2023) 28. Nadkarni BM, Morley P, Hazinski MF, Zaritsky A. European Resuscitation Council (ERC) Guidelines for Resuscitation 2005. Resuscitation. 2005;67:S1-2. 29. World Health Organization (WHO) report on Disaster Preparedness and Management for Hospitals (2022) Recommendation: "Hospitals should identify and assess their disaster risks." (p. 3) Recommendation: "Hospitals should develop a disaster preparedness plan." (p. 4) Recommendation: "Hospitals should test their disaster preparedness plan regularly." (p. 5) 30. International Organization for Standardization (ISO) ISO 22367:2019: Health and social care organizations — Emergency management systems — Requirements 31. Lavonas, E.J., Akpunonu, P.D., Arens, A.M., Babu, K.M., Cao, D., Hoffman, R.S., Hoyte, C.O., Mazer- Amirshahi, M.E., Stolbach, A., St-Onge, M. and Thompson, T.M. 2023 American Heart Association Focused Update on the Management of Patients with Cardiac Arrest or Life-Threatening Toxicity Due to Poisoning: An Update to the American Heart Association Guidelines for Cardiopulmonary Resuscitation and Emergency Cardiovascular Care. Circulation, 148(16), pp.e149-e184. 32. 2020 American Heart Association Guidelines for CPR and ECC. [cited 2023 Dec 4]. Available from : https://cpr.heart.org/en/resuscitation-science/cpr-and-ecc-guidelines 33. Soar J, Böttiger BW, Carli P, Couper K, Deakin CD, Djärv T, Lott C, Olasveengen T, Paal P, Pellis T, Perkins GD. European resuscitation council guidelines 2021: adult advanced life support. Resuscitation. 2021 Apr 1;161:115-51. 34. American Nurses Association (ANA) Standards for Practice and Professional Performance 4th ed. .2021. [cited 2023 Dec 4] 35. Nursing workforce standards. Royal College of Nursing (RCN) Standards for Nurses' Practice. 2021. [cited 2023 Dec 4] 36. International Council of Nurses (ICN) Code of Ethics for Nurses Revised 2021. [cited 2023 Dec 4]. Available from : https://www.icn.ch/sites/default/files/2023-06/ICN_Code-of-Ethics_EN_Web.pdf. 37. World Health Organization (WHO) Guidelines on Nursing and Midwifery (2020) 38. WHO Global Startegic Directions for Nursing and Midwifery 2021-2025. [cited 2023 Dec 4]. Available from: https://www.icn.ch/resources/publications-and-reports/who-global-strategic-directions-nursing- and-midwifery-2021-2025#:~:text=The%20WHO%20Global%20Strategic%20 Directions,and%20other%20population%20health%20goals. 39. Davis K, Schoenbaum SC, Audet AM. A 2020 vision of patient-centered primary care. Journal of general internal medicine. 2005 Oct;20:953-7. 40. Mirhaghi A, Heydari A, Mazlom R, Hasanzadeh F. Reliability of the emergency severity index: meta- analysis. Sultan Qaboos University Medical Journal. 2015 Feb;15(1):e71. 41. Godlock G, Christiansen M, Feider L. Implementation of an evidence-based patient safety team to prevent falls in inpatient medical units. Medsurg Nursing. 2016;25(1):17. 42. American Psychiatric Nurses Association. APNA Standards of Practice: Seclusion and Restraint (Original, May 2000; Revised, May 2007; Revised, April 2014; Revised, March 2022). [cited 2023 Dec 4]. Available from : https://www.apna.org/standards-of-practice-seclusion-and-restraint/. 43. Perkins E, Blair EW, Allen DE, Teal LA, Marcus PE, Fordmeir JL. Updates to American Psychiatric Nurses Association: Seclusion and Restraint Position Statement and Standards of Practice. Journal of the American Psychiatric Nurses Association. 2023 Jun 29:10783903231184200. 44. American Society of Anesthesiologists. (n.d.). Standards and Guidelines. (not found) 45. Apfelbaum JL, Hagberg CA, Connis RT, Abdelmalak BB, Agarkar M, Dutton RP, Fiadjoe JE, Greif R, Klock Jr PA, Mercier D, Myatra SN. 2022 American Society of Anesthesiologists practice guidelines for management of the difficult airway. Anesthesiology. 2022 Jan 1;136(1):31-81. 46. Ateriya N, Saraf A, Meshram VP, Setia P. Telemedicine and virtual consultation: The Indian perspective. National Medical Journal of India. 2018 Jul 1;31(4). 47. Carthon JM, Hatfield L, Plover C, Dierkes A, Davis L, Hedgeland T, Sanders AM, Visco F, Holland S, Ballinghoff J, Del Guidice M. Association of nurse engagement and nurse staffing on patient safety. Journal of nursing care quality. 2019 Jan 1;34(1):40-6. 48. Burch, J., &amp; Tort, S. (2019). Does the use of risk assessment tools help prevent the development of pressure ulcers? Cochrane Clinical Answers. doi:10.1002/cca.2400 (not found) 49. Agency for Healthcare Research and Quality. Effective Healthcare Programme. Evidence-based Practice Center Systematic Review Protocol Pressure Ulcer Risk Assessment and Prevention: A Comparative Effectiveness Review. [cited 2023 Dec 4]. Available from: https://effectivehealthcare. ahrq.gov/sites/default/files/pdf/pressure-ulcer-prevention_research-protocol.pdf. 50. Byrne JP, Xiong W, Gomez D, Mason S, Karanicolas P, Rizoli S, Tien H, Nathens AB. Redefining “dead on arrival”: identifying the unsalvageable patient for the purpose of performance improvement. Journal of trauma and acute care surgery. 2015 Nov 1;79(5):850-7. 51. Chou R, Gordon DB, de Leon-Casasola OA, Rosenberg JM, Bickler S, Brennan T, Carter T, Cassidy CL, Chittenden EH, Degenhardt E, Griffith S. Management of Postoperative Pain: a clinical practice guideline from the American pain society, the American Society of Regional Anesthesia and Pain Medicine, and the American Society of Anesthesiologists' committee on regional anesthesia, executive committee, and administrative council. The journal of pain. 2016 Feb 1;17(2):131-57. 52. Christ M, Grossmann F, Winter D, Bingisser R, Platz E. Modern triage in the emergency department. Deutsches Ärzteblatt International. 2010 Dec;107(50):892. 53. Colvin JR, Peden C, editors. Raising the standard: a compendium of audit recipes for continuous quality improvement in anaesthesia. Royal College of Anaesthetists; 2012. 54. UPDATE AF. 2017 American Heart Association Focused Update on Adult Basic Life Support and Cardiopulmonary Resuscitation Quality. Circulation. 2017;136:00-. 55. Deutsch ES, Yonash RA, Martin DE, Atkins JH, Arnold TV, Hunt CM. Wrong-site nerve blocks: a systematic literature review to guide principles for prevention. Journal of Clinical Anesthesia. 2018 May 1;46:101-11. 56. Dykes PC, Carroll DL, Hurley A, Lipsitz S, Benoit A, Chang F, Meltzer S, Tsurikova R, Zuyov L, Middleton B. Fall prevention in acute care hospitals: a randomized trial. Jama. 2010 Nov 3;304(17):1912-8. 57. Haynes AB, Berry WR, Gawande AA. What do we know about the safe surgery checklist now?. Annals of surgery. 2015 May 1;261(5):829-30. 58. Henke PK, Pannucci CJ. Venous thromboembolism risk factor assessment and prophylaxis. Phlebology. 2010 Oct;25(5):219-23. 59. Hervig T, Kaada SH, Seghatchian J. Storage and handling of blood components–perspectives. Transfusion and Apheresis Science. 2014 Oct 1;51(2):103-6. 60. Hinkelbein J, Lamperti M, Akeson J, Santos J, Costa J, De Robertis E, Longrois D, Novak-Jankovic V, Petrini F, Struys MM, Veyckemans F. European Society of Anaesthesiology and European Board of Anaesthesiology guidelines for procedural sedation and analgesia in adults. European Journal of Anaesthesiology| EJA. 2018 Jan 1;35(1):6-24. 61. Indian Society of Critical Care Medicine. (n.d.). Guidelines. Retrieved August 5, 2019, from https://isccm.org/guidelines.aspx(not found) Option: Rungta N, Zirpe KG, Dixit SB, Mehta Y, Chaudhry D, Govil D, Mishra RC, Sharma J, Amin P, Rao BK, Khilnani GC. Indian society of critical care medicine experts committee consensus statement on ICU planning and designing, 2020. Indian journal of critical care medicine: peer-reviewed, official publication of Indian Society of Critical Care Medicine. 2020 Jan;24(Suppl 1):S43. 62. The Committee for Clinical Practice Guideline for the Management of Chronic Pain Clinical Practice Guidelines for the Management of Chronic Pain. 2021 Nov 7. [cited 2023 Dec 4] Available from : https://minds.jcqhc.or.jp/english/guideline_summary?p_gl_id=G0001351. 63. Raja SN, Carr DB, Cohen M, Finnerup NB, Flor H, Gibson S, Keefe FJ, Mogil JS, Ringkamp M, Sluka KA, Song XJ. The revised International Association for the Study of Pain definition of pain: concepts, challenges, and compromises. Pain. 2020 Sep 1;161(9):1976-82. 64. Kleinman ME, Brennan EE, Goldberger ZD, Swor RA, Terry M, Bobrow BJ, Gazmuri RJ, Travers AH, Rea T. Part 5: adult basic life support and cardiopulmonary resuscitation quality: 2015 American Heart Association guidelines update for cardiopulmonary resuscitation and emergency cardiovascular care. Circulation. 2015 Nov 3;132(18_suppl_2):S414-35. 65. Kleinman ME, Goldberger ZD, Rea T, Swor RA, Bobrow BJ, Brennan EE, Terry M, Hemphill R, Gazmuri RJ, Hazinski MF, Travers AH. 2017 American Heart Association focused update on adult basic life support and cardiopulmonary resuscitation quality: an update to the American Heart Association guidelines for cardiopulmonary resuscitation and emergency cardiovascular care. Circulation. 2018 Jan 2;137(1):e7-13. 66. Link MS, Berkow LC, Kudenchuk PJ, Halperin HR, Hess EP, Moitra VK, Neumar RW, O’Neil BJ, Paxton JH, Silvers SM, White RD. Part 7: adult advanced cardiovascular life support: 2015 American Heart Association guidelines update for cardiopulmonary resuscitation and emergency cardiovascular care. Circulation. 2015 Nov 3;132(18_suppl_2):S444-64. 67. McClave SA, DiBaise JK, Mullin GE, Martindale RG. ACG clinical guideline: nutrition therapy in the adult hospitalized patient. Official journal of the American College of Gastroenterology| ACG. 2016 Mar 1;111(3):315-34. 68. Ministry of Health and Family Welfare, Government of India. Standard Treatment G u i d e l i n e s ( S p e c i a l i t y / S u p e r S p e c i a l i t y w i s e ) . [ c i t e d 2 0 2 3 D e c 4 ] . Av a i l a b l e f r o m http://clinicalestablishments.gov.in/En/1068-standard-treatment-guidelines.aspx 69. Mishra S, Mukhopadhyay K, Tiwari S, Bangal R, Yadav BS, Sachdeva A, Kumar V. End-of-life care: consensus statement by Indian academy of pediatrics. Indian Pediatrics. 2017 Oct;54:851-9. 70. Montori VM, Brito JP, Murad MH. The optimal practice of evidence-based medicine: incorporating patient preferences in practice guidelines. Jama. 2013 Dec 18;310(23):2503-4. 71. Moore ZE, Patton D. Risk assessment tools for the prevention of pressure ulcers. Cochrane Database of Systematic Reviews. 2019(1). 72. Ministiry of Health and Family Welfare. Department of Health and Family Welfare. National Standards for Blood Centres and Blood Transfusion Services (2nd Edition). [cited 2023 Dec 4]. Available from: https://main.mohfw.gov.in/?q=newshighlights-99. 73. National Council on Aging. (2017, August 29). Malnutrition Screening and Assessment Tools. Retrieved August 5, 2019, from https://www.ncoa.org/assesssments-tools/malnutrition-screening-assessment- tools/– (not found) 74. (N.d.). Nhsrcindia.org. Retrieved December 25, 2023, from https://qps.nhsrcindia.org/ sites/default/files/2022-03/LaQshya%20Guidelines.pdf 75. Galagali PM, Rao C, Dinakar C, Gupta P, Shah D, Chandrashekaraiah S, Kanthila J, Shastri D, Kumar RR, Nair MKC. Indian Academy of Pediatrics Consensus Guidelines for Adolescent Friendly Health Services. Indian Pediatr. 2022 Jun 15;59(6):477-484. doi: 10.1007/s13312-022-2539-9. Epub 2022 Apr 26. PMID: 35481487; PMCID: PMC9253249. Management of Medication</w:t>
      </w:r>
    </w:p>
    <w:p>
      <w:pPr>
        <w:pStyle w:val="ListParagraph"/>
        <w:numPr>
          <w:ilvl w:val="0"/>
          <w:numId w:val="1"/>
        </w:numPr>
        <w:spacing w:after="60"/>
      </w:pPr>
      <w:r>
        <w:rPr>
          <w:sz w:val="22"/>
          <w:szCs w:val="22"/>
        </w:rPr>
        <w:t xml:space="preserve">Records showing COP.20.e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COP.20.e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«HCO/COP/POL/20»  |  Controlled document  |  End-of-Life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2026-08-20T15:49:57.200Z</dcterms:created>
  <dcterms:modified xsi:type="dcterms:W3CDTF">2026-08-20T15:49:57.201Z</dcterms:modified>
</cp:coreProperties>
</file>

<file path=docProps/custom.xml><?xml version="1.0" encoding="utf-8"?>
<Properties xmlns="http://schemas.openxmlformats.org/officeDocument/2006/custom-properties" xmlns:vt="http://schemas.openxmlformats.org/officeDocument/2006/docPropsVTypes"/>
</file>