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High-Risk Patients — Identification and Management</w:t>
      </w:r>
    </w:p>
    <w:p>
      <w:pPr>
        <w:spacing w:after="240"/>
        <w:jc w:val="center"/>
      </w:pPr>
      <w:r>
        <w:rPr>
          <w:i/>
          <w:iCs/>
          <w:sz w:val="20"/>
          <w:szCs w:val="20"/>
        </w:rPr>
        <w:t xml:space="preserve">HCO Full Accreditation, 6th Edition — COP.16.</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«HCO/COP/POL/16»</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identifies and manages patients who are at high risk of morbidity / mortality.</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COP.16: The organisation identifies and manages patients who are at high risk of morbidity / mortality.</w:t>
      </w:r>
    </w:p>
    <w:p>
      <w:pPr>
        <w:spacing w:after="140"/>
      </w:pPr>
      <w:r>
        <w:rPr>
          <w:sz w:val="22"/>
          <w:szCs w:val="22"/>
        </w:rPr>
        <w:t xml:space="preserve">It covers objective elements COP.16.a–e (5 elements).</w:t>
      </w:r>
    </w:p>
    <w:p>
      <w:pPr>
        <w:spacing w:after="140"/>
      </w:pPr>
      <w:r>
        <w:rPr>
          <w:sz w:val="22"/>
          <w:szCs w:val="22"/>
        </w:rPr>
        <w:t xml:space="preserve">This policy owns COP.16. Related AAC, PRE, IPC/HIC, HRM and MOM duties stay with those policies — cross-reference only.</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COP.16 at Preview Hospital, including the «Quality Coordinator», treating doctors, nurses and the Quality Coordinator.</w:t>
      </w:r>
    </w:p>
    <w:p>
      <w:pPr>
        <w:spacing w:after="140"/>
      </w:pPr>
      <w:r>
        <w:rPr>
          <w:sz w:val="22"/>
          <w:szCs w:val="22"/>
        </w:rPr>
        <w:t xml:space="preserve">It covers 5 objective elements (COP.16.a, COP.16.b, COP.16.c, COP.16.d, COP.16.e).</w:t>
      </w:r>
    </w:p>
    <w:p>
      <w:pPr>
        <w:spacing w:after="140"/>
      </w:pPr>
      <w:r>
        <w:rPr>
          <w:sz w:val="22"/>
          <w:szCs w:val="22"/>
        </w:rPr>
        <w:t xml:space="preserve">Boundaries: do not copy SHCO COP wording. Do not overwrite AAC policies.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COP.16 so that the organisation identifies and manages patients who are at high risk of morbidity / mortality..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identifies and manages vulnerable patients.</w:t>
      </w:r>
    </w:p>
    <w:p>
      <w:pPr>
        <w:spacing w:after="80"/>
      </w:pPr>
      <w:r>
        <w:rPr>
          <w:sz w:val="22"/>
          <w:szCs w:val="22"/>
        </w:rPr>
        <w:t xml:space="preserve">2. Do not skip: The organisation identifies and manages patients who are at a risk of fall.</w:t>
      </w:r>
    </w:p>
    <w:p>
      <w:pPr>
        <w:spacing w:after="80"/>
      </w:pPr>
      <w:r>
        <w:rPr>
          <w:sz w:val="22"/>
          <w:szCs w:val="22"/>
        </w:rPr>
        <w:t xml:space="preserve">3. Do not skip: The organisation identifies and manages patients who are at risk of developing / worsening of pressure ulcers.</w:t>
      </w:r>
    </w:p>
    <w:p>
      <w:pPr>
        <w:spacing w:after="80"/>
      </w:pPr>
      <w:r>
        <w:rPr>
          <w:sz w:val="22"/>
          <w:szCs w:val="22"/>
        </w:rPr>
        <w:t xml:space="preserve">4. Do not skip: The organisation identifies and manages patients who are at risk of developing deep vein thrombosis.</w:t>
      </w:r>
    </w:p>
    <w:p>
      <w:pPr>
        <w:spacing w:after="80"/>
      </w:pPr>
      <w:r>
        <w:rPr>
          <w:sz w:val="22"/>
          <w:szCs w:val="22"/>
        </w:rPr>
        <w:t xml:space="preserve">5. Do not skip: The organisation identifies and manages patients who need restraints.</w:t>
      </w:r>
    </w:p>
    <w:p>
      <w:pPr>
        <w:spacing w:after="80"/>
      </w:pPr>
      <w:r>
        <w:rPr>
          <w:sz w:val="22"/>
          <w:szCs w:val="22"/>
        </w:rPr>
        <w:t xml:space="preserve">6. Do not bypass the stop-work authority in section 6 when the trigger conditions are met.</w:t>
      </w:r>
    </w:p>
    <w:p>
      <w:pPr>
        <w:spacing w:after="80"/>
      </w:pPr>
      <w:r>
        <w:rPr>
          <w:sz w:val="22"/>
          <w:szCs w:val="22"/>
        </w:rPr>
        <w:t xml:space="preserve">7. Staff who see a COP.16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The organisation identifies and manages vulnerable patients</w:t>
      </w:r>
    </w:p>
    <w:p>
      <w:pPr>
        <w:spacing w:after="140"/>
      </w:pPr>
      <w:r>
        <w:rPr>
          <w:sz w:val="22"/>
          <w:szCs w:val="22"/>
        </w:rPr>
        <w:t xml:space="preserve">The organisation identifies and manages vulnerable patients.</w:t>
      </w:r>
    </w:p>
    <w:p>
      <w:pPr>
        <w:spacing w:after="140"/>
      </w:pPr>
      <w:r>
        <w:rPr>
          <w:sz w:val="22"/>
          <w:szCs w:val="22"/>
        </w:rPr>
        <w:t xml:space="preserve">Method note: Follow the organisation's written guidance for this asterisked element; keep records that show the guidance was followed for the sampled cases.</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organisation identifies and manages patients who are at a risk of..</w:t>
      </w:r>
    </w:p>
    <w:p>
      <w:pPr>
        <w:spacing w:after="140"/>
      </w:pPr>
      <w:r>
        <w:rPr>
          <w:sz w:val="22"/>
          <w:szCs w:val="22"/>
        </w:rPr>
        <w:t xml:space="preserve">The organisation identifies and manages patients who are at a risk of fall.</w:t>
      </w:r>
    </w:p>
    <w:p>
      <w:pPr>
        <w:spacing w:after="140"/>
      </w:pPr>
      <w:r>
        <w:rPr>
          <w:sz w:val="22"/>
          <w:szCs w:val="22"/>
        </w:rPr>
        <w:t xml:space="preserve">Method note: Follow the organisation's written guidance for this asterisked element; keep records that show the guidance was followed for the sampled cases.</w:t>
      </w:r>
    </w:p>
    <w:p>
      <w:pPr>
        <w:spacing w:after="140"/>
      </w:pPr>
      <w:r>
        <w:rPr>
          <w:sz w:val="22"/>
          <w:szCs w:val="22"/>
        </w:rPr>
        <w:t xml:space="preserve">This is a CORE objective element — non-compliance is not acceptable for accreditation.</w:t>
      </w:r>
    </w:p>
    <w:p>
      <w:pPr>
        <w:pStyle w:val="Heading2"/>
        <w:spacing w:after="100" w:before="220"/>
      </w:pPr>
      <w:r>
        <w:t xml:space="preserve">5.3 The organisation identifies and manages patients who are at risk of d..</w:t>
      </w:r>
    </w:p>
    <w:p>
      <w:pPr>
        <w:spacing w:after="140"/>
      </w:pPr>
      <w:r>
        <w:rPr>
          <w:sz w:val="22"/>
          <w:szCs w:val="22"/>
        </w:rPr>
        <w:t xml:space="preserve">The organisation identifies and manages patients who are at risk of developing / worsening of pressure ulcers.</w:t>
      </w:r>
    </w:p>
    <w:p>
      <w:pPr>
        <w:spacing w:after="140"/>
      </w:pPr>
      <w:r>
        <w:rPr>
          <w:sz w:val="22"/>
          <w:szCs w:val="22"/>
        </w:rPr>
        <w:t xml:space="preserve">Method note: Follow the organisation's written guidance for this asterisked element; keep records that show the guidance was followed for the sampled cases.</w:t>
      </w:r>
    </w:p>
    <w:p>
      <w:pPr>
        <w:spacing w:after="140"/>
      </w:pPr>
      <w:r>
        <w:rPr>
          <w:sz w:val="22"/>
          <w:szCs w:val="22"/>
        </w:rPr>
        <w:t xml:space="preserve">This is a CORE objective element — non-compliance is not acceptable for accreditation.</w:t>
      </w:r>
    </w:p>
    <w:p>
      <w:pPr>
        <w:pStyle w:val="Heading2"/>
        <w:spacing w:after="100" w:before="220"/>
      </w:pPr>
      <w:r>
        <w:t xml:space="preserve">5.4 The organisation identifies and manages patients who are at risk of d..</w:t>
      </w:r>
    </w:p>
    <w:p>
      <w:pPr>
        <w:spacing w:after="140"/>
      </w:pPr>
      <w:r>
        <w:rPr>
          <w:sz w:val="22"/>
          <w:szCs w:val="22"/>
        </w:rPr>
        <w:t xml:space="preserve">The organisation identifies and manages patients who are at risk of developing deep vein thrombosis.</w:t>
      </w:r>
    </w:p>
    <w:p>
      <w:pPr>
        <w:spacing w:after="140"/>
      </w:pPr>
      <w:r>
        <w:rPr>
          <w:sz w:val="22"/>
          <w:szCs w:val="22"/>
        </w:rPr>
        <w:t xml:space="preserve">Method note: Follow the organisation's written guidance for this asterisked element; keep records that show the guidance was followed for the sampled cases.</w:t>
      </w:r>
    </w:p>
    <w:p>
      <w:pPr>
        <w:spacing w:after="140"/>
      </w:pPr>
      <w:r>
        <w:rPr>
          <w:sz w:val="22"/>
          <w:szCs w:val="22"/>
        </w:rPr>
        <w:t xml:space="preserve">This is a CORE objective element — non-compliance is not acceptable for accreditation.</w:t>
      </w:r>
    </w:p>
    <w:p>
      <w:pPr>
        <w:pStyle w:val="Heading2"/>
        <w:spacing w:after="100" w:before="220"/>
      </w:pPr>
      <w:r>
        <w:t xml:space="preserve">5.5 The organisation identifies and manages patients who need restraints</w:t>
      </w:r>
    </w:p>
    <w:p>
      <w:pPr>
        <w:spacing w:after="140"/>
      </w:pPr>
      <w:r>
        <w:rPr>
          <w:sz w:val="22"/>
          <w:szCs w:val="22"/>
        </w:rPr>
        <w:t xml:space="preserve">The organisation identifies and manages patients who need restraints.</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1"/>
        <w:spacing w:after="120" w:before="280"/>
      </w:pPr>
      <w:r>
        <w:t xml:space="preserve">6. Stop-work authority</w:t>
      </w:r>
    </w:p>
    <w:p>
      <w:pPr>
        <w:spacing w:after="140"/>
      </w:pPr>
      <w:r>
        <w:rPr>
          <w:sz w:val="22"/>
          <w:szCs w:val="22"/>
        </w:rPr>
        <w:t xml:space="preserve">Do not leave a patient identified as vulnerable, at fall risk, at pressure-ulcer risk, at DVT risk, or needing restraints without the precautions and monitoring required by the organisation's written guidance.</w:t>
      </w:r>
    </w:p>
    <w:p>
      <w:pPr>
        <w:spacing w:after="140"/>
      </w:pPr>
      <w:r>
        <w:rPr>
          <w:sz w:val="22"/>
          <w:szCs w:val="22"/>
        </w:rPr>
        <w:t xml:space="preserve">Do not apply or continue restraints without a documented clinical order and ongoing review.</w:t>
      </w:r>
    </w:p>
    <w:p>
      <w:pPr>
        <w:spacing w:after="140"/>
      </w:pPr>
      <w:r>
        <w:rPr>
          <w:sz w:val="22"/>
          <w:szCs w:val="22"/>
        </w:rPr>
        <w:t xml:space="preserve">Stop-work applies to missing precautions / unauthorised restraint — not to emergency physical intervention needed to prevent immediate harm, which is followed at once by documentation and medical review.</w:t>
      </w:r>
    </w:p>
    <w:p>
      <w:pPr>
        <w:spacing w:after="140"/>
      </w:pPr>
      <w:r>
        <w:rPr>
          <w:sz w:val="22"/>
          <w:szCs w:val="22"/>
        </w:rPr>
        <w:t xml:space="preserve">The person who stops tells the «treating doctor» and the «Ward / ICU In-Charge» the same shift. Refusing to leave high-risk patients unprotected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COP.16 is resourced and followed.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8.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COP.16.a–e.</w:t>
      </w:r>
    </w:p>
    <w:p>
      <w:pPr>
        <w:pStyle w:val="ListParagraph"/>
        <w:numPr>
          <w:ilvl w:val="0"/>
          <w:numId w:val="1"/>
        </w:numPr>
        <w:spacing w:after="60"/>
      </w:pPr>
      <w:r>
        <w:rPr>
          <w:sz w:val="22"/>
          <w:szCs w:val="22"/>
        </w:rPr>
        <w:t xml:space="preserve">Asterisked elements (abcde) have document evidence as required.</w:t>
      </w:r>
    </w:p>
    <w:p>
      <w:pPr>
        <w:pStyle w:val="ListParagraph"/>
        <w:numPr>
          <w:ilvl w:val="0"/>
          <w:numId w:val="1"/>
        </w:numPr>
        <w:spacing w:after="60"/>
      </w:pPr>
      <w:r>
        <w:rPr>
          <w:sz w:val="22"/>
          <w:szCs w:val="22"/>
        </w:rPr>
        <w:t xml:space="preserve">CORE elements (abcd)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High-Risk Patients — Identification and Management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COP.16.</w:t>
      </w:r>
    </w:p>
    <w:p>
      <w:pPr>
        <w:pStyle w:val="ListParagraph"/>
        <w:numPr>
          <w:ilvl w:val="0"/>
          <w:numId w:val="1"/>
        </w:numPr>
        <w:spacing w:after="60"/>
      </w:pPr>
      <w:r>
        <w:rPr>
          <w:sz w:val="22"/>
          <w:szCs w:val="22"/>
        </w:rPr>
        <w:t xml:space="preserve">NABH Guidebook to Accreditation Standards for Hospitals, 6th Edition — COP.16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COP.16.</w:t>
      </w:r>
    </w:p>
    <w:p>
      <w:pPr>
        <w:pStyle w:val="Heading1"/>
        <w:spacing w:after="120" w:before="280"/>
      </w:pPr>
      <w:r>
        <w:t xml:space="preserve">11. Distribution</w:t>
      </w:r>
    </w:p>
    <w:p>
      <w:pPr>
        <w:spacing w:after="140"/>
      </w:pPr>
      <w:r>
        <w:rPr>
          <w:sz w:val="22"/>
          <w:szCs w:val="22"/>
        </w:rPr>
        <w:t xml:space="preserve">Medical Superintendent; Quality Coordinator; department clinical staff covered by COP.16</w:t>
      </w:r>
    </w:p>
    <w:p>
      <w:pPr>
        <w:pStyle w:val="Heading1"/>
        <w:spacing w:after="120" w:before="280"/>
      </w:pPr>
      <w:r>
        <w:t xml:space="preserve">12.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13. Traceability to NABH HCO Full Accreditation 6th Edition COP.16</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COP.16.a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manages vulnerable patients.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COP.16.b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manages patients who are at a risk of fall.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COP.16.c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manages patients who are at risk of developing / worsening of pressure ulcers.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COP.16.d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manages patients who are at risk of developing deep vein thrombosis.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COP.16.e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manages patients who need restraints.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COP.16.a — The organisation identifies and manages vulnerable patients.</w:t>
      </w:r>
    </w:p>
    <w:p>
      <w:pPr>
        <w:pStyle w:val="ListParagraph"/>
        <w:numPr>
          <w:ilvl w:val="0"/>
          <w:numId w:val="1"/>
        </w:numPr>
        <w:spacing w:after="60"/>
      </w:pPr>
      <w:r>
        <w:rPr>
          <w:sz w:val="22"/>
          <w:szCs w:val="22"/>
        </w:rPr>
        <w:t xml:space="preserve">Records showing COP.16.a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COP.16.a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COP.16.b — The organisation identifies and manages patients who are at a risk of fall.</w:t>
      </w:r>
    </w:p>
    <w:p>
      <w:pPr>
        <w:pStyle w:val="ListParagraph"/>
        <w:numPr>
          <w:ilvl w:val="0"/>
          <w:numId w:val="1"/>
        </w:numPr>
        <w:spacing w:after="60"/>
      </w:pPr>
      <w:r>
        <w:rPr>
          <w:sz w:val="22"/>
          <w:szCs w:val="22"/>
        </w:rPr>
        <w:t xml:space="preserve">Records showing COP.16.b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COP.16.b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COP.16.c — The organisation identifies and manages patients who are at risk of developing / worsening of pressure ulcers.</w:t>
      </w:r>
    </w:p>
    <w:p>
      <w:pPr>
        <w:pStyle w:val="ListParagraph"/>
        <w:numPr>
          <w:ilvl w:val="0"/>
          <w:numId w:val="1"/>
        </w:numPr>
        <w:spacing w:after="60"/>
      </w:pPr>
      <w:r>
        <w:rPr>
          <w:sz w:val="22"/>
          <w:szCs w:val="22"/>
        </w:rPr>
        <w:t xml:space="preserve">Records showing COP.16.c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COP.16.c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COP.16.d — The organisation identifies and manages patients who are at risk of developing deep vein thrombosis.</w:t>
      </w:r>
    </w:p>
    <w:p>
      <w:pPr>
        <w:pStyle w:val="ListParagraph"/>
        <w:numPr>
          <w:ilvl w:val="0"/>
          <w:numId w:val="1"/>
        </w:numPr>
        <w:spacing w:after="60"/>
      </w:pPr>
      <w:r>
        <w:rPr>
          <w:sz w:val="22"/>
          <w:szCs w:val="22"/>
        </w:rPr>
        <w:t xml:space="preserve">Records showing COP.16.d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COP.16.d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2"/>
        <w:spacing w:after="100" w:before="220"/>
      </w:pPr>
      <w:r>
        <w:t xml:space="preserve">COP.16.e — The organisation identifies and manages patients who need restraints.</w:t>
      </w:r>
    </w:p>
    <w:p>
      <w:pPr>
        <w:pStyle w:val="ListParagraph"/>
        <w:numPr>
          <w:ilvl w:val="0"/>
          <w:numId w:val="1"/>
        </w:numPr>
        <w:spacing w:after="60"/>
      </w:pPr>
      <w:r>
        <w:rPr>
          <w:sz w:val="22"/>
          <w:szCs w:val="22"/>
        </w:rPr>
        <w:t xml:space="preserve">Records showing COP.16.e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COP.16.e reviewed «quarterly».</w:t>
      </w:r>
    </w:p>
    <w:p>
      <w:pPr>
        <w:pStyle w:val="ListParagraph"/>
        <w:numPr>
          <w:ilvl w:val="0"/>
          <w:numId w:val="1"/>
        </w:numPr>
        <w:spacing w:after="60"/>
      </w:pPr>
      <w:r>
        <w:rPr>
          <w:sz w:val="22"/>
          <w:szCs w:val="22"/>
        </w:rPr>
        <w:t xml:space="preserve">Documented evidence specifically required by the asterisked interpretation.</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«HCO/COP/POL/16»  |  Controlled document  |  High-Risk Patients — Identification and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2026-08-20T15:49:56.546Z</dcterms:created>
  <dcterms:modified xsi:type="dcterms:W3CDTF">2026-08-20T15:49:56.546Z</dcterms:modified>
</cp:coreProperties>
</file>

<file path=docProps/custom.xml><?xml version="1.0" encoding="utf-8"?>
<Properties xmlns="http://schemas.openxmlformats.org/officeDocument/2006/custom-properties" xmlns:vt="http://schemas.openxmlformats.org/officeDocument/2006/docPropsVTypes"/>
</file>