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PRE.1.d — The organisation has a mechanism to report a violation of patient and family rights.</w:t>
      </w:r>
    </w:p>
    <w:p>
      <w:r>
        <w:t>PRE.1 Record 04 — Rights-violation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reported violation was actually logged with who received it -- not handled quietly and left untraceable.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family reports through the complaint box that a curtain was not drawn during an examination; the Patient Rights Officer logs it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report that goes nowhere traceable teaches patients and staff that reporting is pointless -- the log is what proves the mechanism actually receives and keeps reports.</w:t>
            </w:r>
          </w:p>
        </w:tc>
      </w:tr>
    </w:tbl>
    <w:p/>
    <w:p>
      <w:r>
        <w:t>How to fill this in — column by column</w:t>
      </w:r>
    </w:p>
    <w:p>
      <w:r>
        <w:t>Date: When reported.</w:t>
      </w:r>
    </w:p>
    <w:p>
      <w:r>
        <w:t>Reporter (Name or Anonymous): Who reported.</w:t>
      </w:r>
    </w:p>
    <w:p>
      <w:r>
        <w:t>Right Said to Be Violated: Which right.</w:t>
      </w:r>
    </w:p>
    <w:p>
      <w:r>
        <w:t>Statement (Short): What happened.</w:t>
      </w:r>
    </w:p>
    <w:p>
      <w:r>
        <w:t>Received By: Patient Rights Officer, or Medical Superintendent if that officer is the one accused.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Reporter (Name or Anonymous)</w:t>
            </w:r>
          </w:p>
        </w:tc>
        <w:tc>
          <w:tcPr>
            <w:tcW w:type="dxa" w:w="1728"/>
          </w:tcPr>
          <w:p>
            <w:r>
              <w:t>Right Said to Be Violated</w:t>
            </w:r>
          </w:p>
        </w:tc>
        <w:tc>
          <w:tcPr>
            <w:tcW w:type="dxa" w:w="1728"/>
          </w:tcPr>
          <w:p>
            <w:r>
              <w:t>Statement (Short)</w:t>
            </w:r>
          </w:p>
        </w:tc>
        <w:tc>
          <w:tcPr>
            <w:tcW w:type="dxa" w:w="1728"/>
          </w:tcPr>
          <w:p>
            <w:r>
              <w:t>Received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12-Jun-2026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Anonymous</w:t>
            </w:r>
          </w:p>
        </w:tc>
        <w:tc>
          <w:tcPr>
            <w:tcW w:type="dxa" w:w="1728"/>
            <w:shd w:val="clear" w:color="auto" w:fill="FFF2CC"/>
          </w:tcPr>
          <w:p>
            <w:r>
              <w:t>Privacy during examination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Curtain not drawn during examination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Patient Rights Officer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