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PRE.3.a — The organisation obtains informed consent from the patient or family for situations where informed consent is required. Informed consent process adhered to statutory norms.</w:t>
      </w:r>
    </w:p>
    <w:p>
      <w:r>
        <w:t>PRE.3 Record 01 — Consent situations list and process audit sample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quarterly sample of listed situations was actually checked to confirm no elective procedure went ahead without consent -- not assumed compliant.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quarterly sample of ten surgical cases confirms every one has a valid signed consent matching the unique identification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treated with an invasive or high-risk procedure they never actually agreed to has been treated without their consent, whatever paperwork exists afterward.</w:t>
            </w:r>
          </w:p>
        </w:tc>
      </w:tr>
    </w:tbl>
    <w:p/>
    <w:p>
      <w:r>
        <w:t>How to fill this in — column by column</w:t>
      </w:r>
    </w:p>
    <w:p>
      <w:r>
        <w:t>Audit Date: Date of the audit.</w:t>
      </w:r>
    </w:p>
    <w:p>
      <w:r>
        <w:t>Situation Class: Transfusion, anaesthesia, surgery, research, or other.</w:t>
      </w:r>
    </w:p>
    <w:p>
      <w:r>
        <w:t>Cases Sampled: Number checked.</w:t>
      </w:r>
    </w:p>
    <w:p>
      <w:r>
        <w:t>Valid Consent Present (Y/N, all): Result.</w:t>
      </w:r>
    </w:p>
    <w:p>
      <w:r>
        <w:t>Finding / Action (if any): Any gap and its fix.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PRE.3.</w:t>
      </w:r>
    </w:p>
    <w:p>
      <w:pPr>
        <w:pStyle w:val="ListParagraph"/>
      </w:pPr>
      <w:r>
        <w:t xml:space="preserve">• </w:t>
      </w:r>
      <w:r>
        <w:t xml:space="preserve">Government of India. (2019). </w:t>
      </w:r>
      <w:hyperlink r:id="rId10">
        <w:r>
          <w:rPr>
            <w:color w:val="0563C1"/>
            <w:u w:val="single"/>
          </w:rPr>
          <w:t>The National Medical Commission Act, 2019</w:t>
        </w:r>
      </w:hyperlink>
      <w:r>
        <w:t xml:space="preserve"> (Act No. 30 of 2019) — requires a registered medical practitioner to obtain informed consent consistent with professional practice.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Situation Class</w:t>
            </w:r>
          </w:p>
        </w:tc>
        <w:tc>
          <w:tcPr>
            <w:tcW w:type="dxa" w:w="1728"/>
          </w:tcPr>
          <w:p>
            <w:r>
              <w:t>Cases Sampled</w:t>
            </w:r>
          </w:p>
        </w:tc>
        <w:tc>
          <w:tcPr>
            <w:tcW w:type="dxa" w:w="1728"/>
          </w:tcPr>
          <w:p>
            <w:r>
              <w:t>Valid Consent Present (Y/N, all)</w:t>
            </w:r>
          </w:p>
        </w:tc>
        <w:tc>
          <w:tcPr>
            <w:tcW w:type="dxa" w:w="1728"/>
          </w:tcPr>
          <w:p>
            <w:r>
              <w:t>Finding / 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29-Jun-2026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Surgery</w:t>
            </w:r>
          </w:p>
        </w:tc>
        <w:tc>
          <w:tcPr>
            <w:tcW w:type="dxa" w:w="1728"/>
            <w:shd w:val="clear" w:color="auto" w:fill="FFF2CC"/>
          </w:tcPr>
          <w:p>
            <w:r>
              <w:t>10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handle/123456789/118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