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PRE.3.c — The organisation describes who can give consent when a patient is incapable of independent decision making and implements the same.</w:t>
      </w:r>
    </w:p>
    <w:p>
      <w:r>
        <w:t>PRE.3 Record 03 — Incapacity-consent signer verification record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What is this record, in plain terms?</w:t>
              <w:br/>
              <w:t>This record is the proof the signer on a consent for an incapable patient actually matched the written description -- not a single next-of-kin stamp used for every case alike.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A real example of when you'd use this</w:t>
              <w:br/>
              <w:t>For an unconscious trauma patient, the accompanying spouse signs consent and the record notes the basis -- unconscious adult, not mental illness.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Why does NABH ask for this?</w:t>
              <w:br/>
              <w:t>A single next-of-kin signature used for a child, an unconscious adult, an emergency and a person with mental illness alike can go wrong in exactly the case it matters most.</w:t>
            </w:r>
          </w:p>
        </w:tc>
      </w:tr>
    </w:tbl>
    <w:p/>
    <w:p>
      <w:r>
        <w:t>How to fill this in — column by column</w:t>
      </w:r>
    </w:p>
    <w:p>
      <w:r>
        <w:t>Date: Date of consent.</w:t>
      </w:r>
    </w:p>
    <w:p>
      <w:r>
        <w:t>Patient (Identifier 1) / UID (Identifier 2): The patient.</w:t>
      </w:r>
    </w:p>
    <w:p>
      <w:r>
        <w:t>Incapacity Basis: Child, unconscious adult, documented emergency, or mental illness under law.</w:t>
      </w:r>
    </w:p>
    <w:p>
      <w:r>
        <w:t>Signer / Relationship: Who signed.</w:t>
      </w:r>
    </w:p>
    <w:p>
      <w:r>
        <w:t>Matches Description (Y/N): Confirmed.</w:t>
      </w:r>
    </w:p>
    <w:p>
      <w: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p/>
    <w:p>
      <w:r>
        <w:t>Where this requirement comes from (verified, clickable sources)</w:t>
      </w:r>
    </w:p>
    <w:p>
      <w:pPr>
        <w:pStyle w:val="ListParagraph"/>
      </w:pPr>
      <w:r>
        <w:t xml:space="preserve">• </w:t>
      </w:r>
      <w:r>
        <w:t xml:space="preserve">National Accreditation Board for Hospitals and Healthcare Providers. (2022). Standards for Small Healthcare Organisations (3rd ed.). </w:t>
      </w:r>
      <w:hyperlink r:id="rId9">
        <w:r>
          <w:rPr>
            <w:color w:val="0563C1"/>
            <w:u w:val="single"/>
          </w:rPr>
          <w:t>NABH SHCO Accreditation Programme page</w:t>
        </w:r>
      </w:hyperlink>
      <w:r>
        <w:t>. Patient Rights and Education chapter, standard PRE.3.</w:t>
      </w:r>
    </w:p>
    <w:p>
      <w:pPr>
        <w:pStyle w:val="ListParagraph"/>
      </w:pPr>
      <w:r>
        <w:t xml:space="preserve">• </w:t>
      </w:r>
      <w:r>
        <w:t xml:space="preserve">Government of India. (2017). </w:t>
      </w:r>
      <w:hyperlink r:id="rId10">
        <w:r>
          <w:rPr>
            <w:color w:val="0563C1"/>
            <w:u w:val="single"/>
          </w:rPr>
          <w:t>The Mental Healthcare Act, 2017</w:t>
        </w:r>
      </w:hyperlink>
      <w:r>
        <w:t xml:space="preserve"> (Act No. 10 of 2017) — governs who may consent on behalf of a person with mental illness as defined in the Act, including the nominated representative and advance directive provisions.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Patient (Identifier 1) / UID (Identifier 2)</w:t>
            </w:r>
          </w:p>
        </w:tc>
        <w:tc>
          <w:tcPr>
            <w:tcW w:type="dxa" w:w="1728"/>
          </w:tcPr>
          <w:p>
            <w:r>
              <w:t>Incapacity Basis</w:t>
            </w:r>
          </w:p>
        </w:tc>
        <w:tc>
          <w:tcPr>
            <w:tcW w:type="dxa" w:w="1728"/>
          </w:tcPr>
          <w:p>
            <w:r>
              <w:t>Signer / Relationship</w:t>
            </w:r>
          </w:p>
        </w:tc>
        <w:tc>
          <w:tcPr>
            <w:tcW w:type="dxa" w:w="1728"/>
          </w:tcPr>
          <w:p>
            <w:r>
              <w:t>Matches Description (Y/N)</w:t>
            </w:r>
          </w:p>
        </w:tc>
      </w:tr>
      <w:tr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</w:tr>
      <w:tr>
        <w:tc>
          <w:tcPr>
            <w:tcW w:type="dxa" w:w="1728"/>
            <w:shd w:val="clear" w:color="auto" w:fill="FFF2CC"/>
          </w:tcPr>
          <w:p>
            <w:r>
              <w:t>WORKED EXAMPLE — 01-Jul-2026</w:t>
            </w:r>
          </w:p>
        </w:tc>
        <w:tc>
          <w:tcPr>
            <w:tcW w:type="dxa" w:w="1728"/>
            <w:shd w:val="clear" w:color="auto" w:fill="FFF2CC"/>
          </w:tcPr>
          <w:p>
            <w:r>
              <w:t>Mohan Lal / UID-00996</w:t>
            </w:r>
          </w:p>
        </w:tc>
        <w:tc>
          <w:tcPr>
            <w:tcW w:type="dxa" w:w="1728"/>
            <w:shd w:val="clear" w:color="auto" w:fill="FFF2CC"/>
          </w:tcPr>
          <w:p>
            <w:r>
              <w:t>Unconscious adult</w:t>
            </w:r>
          </w:p>
        </w:tc>
        <w:tc>
          <w:tcPr>
            <w:tcW w:type="dxa" w:w="1728"/>
            <w:shd w:val="clear" w:color="auto" w:fill="FFF2CC"/>
          </w:tcPr>
          <w:p>
            <w:r>
              <w:t>Spouse — Sunita Lal</w:t>
            </w:r>
          </w:p>
        </w:tc>
        <w:tc>
          <w:tcPr>
            <w:tcW w:type="dxa" w:w="1728"/>
            <w:shd w:val="clear" w:color="auto" w:fill="FFF2CC"/>
          </w:tcPr>
          <w:p>
            <w:r>
              <w:t>Y</w:t>
            </w:r>
          </w:p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nabh.co/programmes/small-healthcare-organisation-shco-accreditation-programme/" TargetMode="External"/><Relationship Id="rId10" Type="http://schemas.openxmlformats.org/officeDocument/2006/relationships/hyperlink" Target="https://www.indiacode.nic.in/handle/123456789/224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