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PRE.4.a — Patient and/or family are educated in a language and format that they can understand.</w:t>
      </w:r>
    </w:p>
    <w:p>
      <w:r>
        <w:t>PRE.4 Record 01 — Language and format education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language and format actually used for teaching was recorded, including what was done for a patient who cannot read.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who cannot read is taught verbally with family present as translator; the method is recorded.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taught in a language they do not follow has not actually been taught anything, whatever the record says.</w:t>
            </w:r>
          </w:p>
        </w:tc>
      </w:tr>
    </w:tbl>
    <w:p/>
    <w:p>
      <w:r>
        <w:t>How to fill this in — column by column</w:t>
      </w:r>
    </w:p>
    <w:p>
      <w:r>
        <w:t>Date: Date of teaching.</w:t>
      </w:r>
    </w:p>
    <w:p>
      <w:r>
        <w:t>Patient (Identifier 1) / UID (Identifier 2): The patient.</w:t>
      </w:r>
    </w:p>
    <w:p>
      <w:r>
        <w:t>Language Used: As given.</w:t>
      </w:r>
    </w:p>
    <w:p>
      <w:r>
        <w:t>Format: Spoken, written, interpreter, family translator.</w:t>
      </w:r>
    </w:p>
    <w:p>
      <w:r>
        <w:t>Taught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Language Used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Taught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04-Jul-2026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Lata Deshmukh / UID-01014</w:t>
            </w:r>
          </w:p>
        </w:tc>
        <w:tc>
          <w:tcPr>
            <w:tcW w:type="dxa" w:w="1728"/>
            <w:shd w:val="clear" w:color="auto" w:fill="FFF2CC"/>
          </w:tcPr>
          <w:p>
            <w:r>
              <w:t>Marathi</w:t>
            </w:r>
          </w:p>
        </w:tc>
        <w:tc>
          <w:tcPr>
            <w:tcW w:type="dxa" w:w="1728"/>
            <w:shd w:val="clear" w:color="auto" w:fill="FFF2CC"/>
          </w:tcPr>
          <w:p>
            <w:r>
              <w:t>Spoken, with family as translator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V. Joshi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