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PRE.4.f — Communication with the patients and/or families is done effectively.</w:t>
      </w:r>
    </w:p>
    <w:p>
      <w:r>
        <w:t>PRE.4 Record 06 — Communication effectiveness check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understanding was actually checked by having the patient or family repeat the key point back -- not a harvested signature alone.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After discharge teaching, the patient repeats back the medication schedule correctly in her own words; where she could not, the nurse re-explained and re-checked.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harvested signature proves nothing was explained badly enough for the patient to notice -- it does not prove they understood.</w:t>
            </w:r>
          </w:p>
        </w:tc>
      </w:tr>
    </w:tbl>
    <w:p/>
    <w:p>
      <w:r>
        <w:t>How to fill this in — column by column</w:t>
      </w:r>
    </w:p>
    <w:p>
      <w:r>
        <w:t>Date: Date of the encounter.</w:t>
      </w:r>
    </w:p>
    <w:p>
      <w:r>
        <w:t>Patient (Identifier 1) / UID (Identifier 2): The patient.</w:t>
      </w:r>
    </w:p>
    <w:p>
      <w:r>
        <w:t>Topic Taught: What was explained.</w:t>
      </w:r>
    </w:p>
    <w:p>
      <w:r>
        <w:t>Understanding Confirmed (Y/N — Teach-back): Result.</w:t>
      </w:r>
    </w:p>
    <w:p>
      <w:r>
        <w:t>Adapted If Not Understood (Y/N/NA):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PRE.4.</w:t>
      </w:r>
    </w:p>
    <w:p>
      <w:pPr>
        <w:pStyle w:val="ListParagraph"/>
      </w:pPr>
      <w:r>
        <w:t xml:space="preserve">• </w:t>
      </w:r>
      <w:r>
        <w:t>Ha, J. F., &amp; Longnecker, N. (2010). Doctor-patient communication: a review. The Ochsner Journal, 10(1), 38–43 — the doctor-patient communication framework referred to in staff training; not a pasted protocol.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Topic Taught</w:t>
            </w:r>
          </w:p>
        </w:tc>
        <w:tc>
          <w:tcPr>
            <w:tcW w:type="dxa" w:w="1728"/>
          </w:tcPr>
          <w:p>
            <w:r>
              <w:t>Understanding Confirmed (Y/N — Teach-back)</w:t>
            </w:r>
          </w:p>
        </w:tc>
        <w:tc>
          <w:tcPr>
            <w:tcW w:type="dxa" w:w="1728"/>
          </w:tcPr>
          <w:p>
            <w:r>
              <w:t>Adapted If Not Understood (Y/N/NA)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09-Jul-2026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Pooja Mishra / UID-01044</w:t>
            </w:r>
          </w:p>
        </w:tc>
        <w:tc>
          <w:tcPr>
            <w:tcW w:type="dxa" w:w="1728"/>
            <w:shd w:val="clear" w:color="auto" w:fill="FFF2CC"/>
          </w:tcPr>
          <w:p>
            <w:r>
              <w:t>Discharge medication schedule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NA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