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Information, Education and Communication about Healthcare Needs</w:t>
      </w:r>
    </w:p>
    <w:p>
      <w:r>
        <w:t>«Hospital Name» — SOP-PRE.4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SOP-PRE.4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educates patients and families in a language and format they can understand, covering medicines and side effects, food-drug interaction and diet, their specific disease process, preventing healthcare-associated infections, and doing all of this through communication that actually works -- checked for understanding, not just delivered.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patient is handed a printed leaflet about their new medication and sent home. This SOP is what makes sure someone actually talked them through it in a language they understand, and checked they could repeat back the key point -- not that a leaflet changed hands.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harvested signature on an education form is not proof anyone learned anything, and a patient who leaves not understanding their own medicines, diet restrictions or warning signs is a patient this hospital will likely see again, sicker, for a problem that could have been prevented.</w:t>
            </w:r>
          </w:p>
        </w:tc>
      </w:tr>
    </w:tbl>
    <w:p/>
    <w:p>
      <w:r>
        <w:t>To define how «Hospital Name» educates the patient and/or family in a language and format they can understand, about medication safety and side effects, food-drug interaction and diet, their specific disease process, preventing healthcare-associated infections, and does so through communication that is actually effective.</w:t>
      </w:r>
    </w:p>
    <w:p>
      <w:pPr>
        <w:pStyle w:val="Heading1"/>
      </w:pPr>
      <w:r>
        <w:t>2. Scope</w:t>
      </w:r>
    </w:p>
    <w:p>
      <w:r>
        <w:rPr>
          <w:i/>
        </w:rPr>
        <w:t xml:space="preserve">Why: </w:t>
      </w:r>
      <w:r>
        <w:t>so teaching happens wherever a patient is cared for, not only as a one-time discharge formality.</w:t>
      </w:r>
    </w:p>
    <w:p>
      <w:r>
        <w:t>Applies wherever a patient or family is taught about healthcare needs: registration after stabilisation, out-patient, emergency, in-patient, day-care, intensive care where it exists, and at discharge. It binds treating doctors, nurses, the Patient Rights Officer as education lead where named, and the Quality Coordinator who audits.</w:t>
      </w:r>
    </w:p>
    <w:p>
      <w:pPr>
        <w:pStyle w:val="Heading1"/>
      </w:pPr>
      <w:r>
        <w:t>3. Responsibility</w:t>
      </w:r>
    </w:p>
    <w:p>
      <w:r>
        <w:rPr>
          <w:i/>
        </w:rPr>
        <w:t xml:space="preserve">Why: </w:t>
      </w:r>
      <w:r>
        <w:t>education that is assigned to "whoever is free" rather than a named role tends to become the first thing skipped when the ward gets busy.</w:t>
      </w:r>
    </w:p>
    <w:p>
      <w:r>
        <w:rPr>
          <w:b/>
        </w:rPr>
        <w:t xml:space="preserve">Medical Superintendent: </w:t>
      </w:r>
      <w:r>
        <w:t>Is accountable for education and effective communication.</w:t>
      </w:r>
    </w:p>
    <w:p>
      <w:r>
        <w:rPr>
          <w:b/>
        </w:rPr>
        <w:t xml:space="preserve">Patient Rights Officer (or named education lead): </w:t>
      </w:r>
      <w:r>
        <w:t>Holds language-and-format method, topic methods and effective-communication method.</w:t>
      </w:r>
    </w:p>
    <w:p>
      <w:r>
        <w:rPr>
          <w:b/>
        </w:rPr>
        <w:t xml:space="preserve">Doctors and Nurses: </w:t>
      </w:r>
      <w:r>
        <w:t>Teach and check understanding.</w:t>
      </w:r>
    </w:p>
    <w:p>
      <w:r>
        <w:rPr>
          <w:b/>
        </w:rPr>
        <w:t xml:space="preserve">Quality Coordinator: </w:t>
      </w:r>
      <w:r>
        <w:t>Audits this SOP quarterly.</w:t>
      </w:r>
    </w:p>
    <w:p>
      <w:pPr>
        <w:pStyle w:val="Heading1"/>
      </w:pPr>
      <w:r>
        <w:t>4. What to do</w:t>
      </w:r>
    </w:p>
    <w:p>
      <w:pPr>
        <w:pStyle w:val="Heading2"/>
      </w:pPr>
      <w:r>
        <w:t>Educate in a language and format the patient and family can understand</w:t>
      </w:r>
    </w:p>
    <w:p>
      <w:r>
        <w:rPr>
          <w:i/>
        </w:rPr>
        <w:t xml:space="preserve">Why: </w:t>
      </w:r>
      <w:r>
        <w:t>A patient taught in a language they do not follow has not actually been taught anything, whatever the record says.</w:t>
      </w:r>
    </w:p>
    <w:p>
      <w:r>
        <w:t>Patient and/or family are educated in a language and format that they can understand.</w:t>
      </w:r>
    </w:p>
    <w:p>
      <w:r>
        <w:t>Language and format -- spoken language, written material, interpreter use, an accompanying family member as translator, and what is done when the patient cannot read -- are chosen and recorded in «Hindi and English» or the patient's own language.</w:t>
      </w:r>
    </w:p>
    <w:p>
      <w:pPr>
        <w:pStyle w:val="Heading2"/>
      </w:pPr>
      <w:r>
        <w:t>Educate about medicines and potential side effects, when appropriate</w:t>
      </w:r>
    </w:p>
    <w:p>
      <w:r>
        <w:rPr>
          <w:i/>
        </w:rPr>
        <w:t xml:space="preserve">Why: </w:t>
      </w:r>
      <w:r>
        <w:t>A patient who starts a new medicine without being told what to watch for has no way of recognising a side effect before it becomes an emergency.</w:t>
      </w:r>
    </w:p>
    <w:p>
      <w:r>
        <w:t>Patient and/or family are educated about the safe and effective use of medication and the potential side effects, when appropriate. Education is given at the start of a medicine, at a dose change, and again at discharge if the medicine continues.</w:t>
      </w:r>
    </w:p>
    <w:p>
      <w:pPr>
        <w:pStyle w:val="Heading2"/>
      </w:pPr>
      <w:r>
        <w:t>Educate about food-drug interaction, diet, nutrition and immunisations</w:t>
      </w:r>
    </w:p>
    <w:p>
      <w:r>
        <w:rPr>
          <w:i/>
        </w:rPr>
        <w:t xml:space="preserve">Why: </w:t>
      </w:r>
      <w:r>
        <w:t>A patient who is not told a new medicine interacts with a food they eat daily can undo the medicine's effect, or worse, without ever knowing why.</w:t>
      </w:r>
    </w:p>
    <w:p>
      <w:r>
        <w:t>Patient and/or family are educated about food-drug interaction and about diet, nutrition and immunisations. Teaching for each topic this hospital actually uses is recorded; a topic not provided as a service is a recorded absence, not a copied teaching record.</w:t>
      </w:r>
    </w:p>
    <w:p>
      <w:pPr>
        <w:pStyle w:val="Heading2"/>
      </w:pPr>
      <w:r>
        <w:t>Educate about the specific disease process, complications and prevention strategies</w:t>
      </w:r>
    </w:p>
    <w:p>
      <w:r>
        <w:rPr>
          <w:i/>
        </w:rPr>
        <w:t xml:space="preserve">Why: </w:t>
      </w:r>
      <w:r>
        <w:t>A generic poster about a condition is not education about this patient's condition -- a patient needs to hear what applies to them specifically, not what applies to everyone with that diagnosis in general.</w:t>
      </w:r>
    </w:p>
    <w:p>
      <w:r>
        <w:t>Patient and/or family are educated about their specific disease process, complications and prevention strategies. Teaching covers the condition this patient actually has, not only a generic handout.</w:t>
      </w:r>
    </w:p>
    <w:p>
      <w:pPr>
        <w:pStyle w:val="Heading2"/>
      </w:pPr>
      <w:r>
        <w:t>Educate about preventing healthcare-associated infections</w:t>
      </w:r>
    </w:p>
    <w:p>
      <w:r>
        <w:rPr>
          <w:i/>
        </w:rPr>
        <w:t xml:space="preserve">Why: </w:t>
      </w:r>
      <w:r>
        <w:t>A patient who does not know to tell staff about a fever, or not to touch an IV line, cannot help protect themselves from an infection this hospital is also working to prevent.</w:t>
      </w:r>
    </w:p>
    <w:p>
      <w:r>
        <w:t>Patient and/or family are educated about preventing healthcare-associated infections -- hand hygiene, not touching devices, telling staff of fever -- through a short ward talk at admission and a reminder at discharge.</w:t>
      </w:r>
    </w:p>
    <w:p>
      <w:pPr>
        <w:pStyle w:val="Heading2"/>
      </w:pPr>
      <w:r>
        <w:t>Communicate effectively — checked, not assumed</w:t>
      </w:r>
    </w:p>
    <w:p>
      <w:r>
        <w:rPr>
          <w:i/>
        </w:rPr>
        <w:t xml:space="preserve">Why: </w:t>
      </w:r>
      <w:r>
        <w:t>A harvested signature on an education form proves nothing was explained badly enough for the patient to notice -- it does not prove they understood.</w:t>
      </w:r>
    </w:p>
    <w:p>
      <w:r>
        <w:t>Communication with the patients and/or families is done effectively. Understanding is checked -- the patient or family repeats the key point back in their own words. If they cannot, staff adapt the explanation and record that it was adapted.</w:t>
      </w:r>
    </w:p>
    <w:p>
      <w:r>
        <w:t>Published communication and health-literacy frameworks may inform how staff structure these conversations; they are not mandated acronyms this hospital must print on a form.</w:t>
      </w:r>
    </w:p>
    <w:p>
      <w:pPr>
        <w:pStyle w:val="Heading1"/>
      </w:pPr>
      <w:r>
        <w:t>5. Records</w:t>
      </w:r>
    </w:p>
    <w:p>
      <w:r>
        <w:t>This SOP produces and maintains Records 1-6 (see the PRE.4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Hospital's Informed Consent SOP (PRE.3)</w:t>
      </w:r>
    </w:p>
    <w:p>
      <w:pPr>
        <w:pStyle w:val="ListParagraph"/>
      </w:pPr>
      <w:r>
        <w:t>Hospital's Safe Administration of Medication SOP (MOM.6)</w:t>
      </w:r>
    </w:p>
    <w:p>
      <w:pPr>
        <w:pStyle w:val="ListParagraph"/>
      </w:pPr>
      <w:r>
        <w:t>Hospital's Assessment SOP (AAC.3)</w:t>
      </w:r>
    </w:p>
    <w:p>
      <w:pPr>
        <w:pStyle w:val="Heading1"/>
      </w:pPr>
      <w:r>
        <w:t>7. Review</w:t>
      </w:r>
    </w:p>
    <w:p>
      <w:r>
        <w:t>This SOP is reviewed annually, or sooner if an audit finds teaching was recorded without an understanding check, or if the sibling MOM, AAC or infection-control policies this SOP points to are revised.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Educate in a language and format the patient and family can understand — PRE.4.a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The consent conversation that uses the same language is owned by the Informed Consent SOP (PRE.3.b); this step is ongoing education.</w:t>
      </w:r>
    </w:p>
    <w:p>
      <w:pPr>
        <w:pStyle w:val="Heading2"/>
      </w:pPr>
      <w:r>
        <w:t>Educate about medicines and potential side effects, when appropriate — PRE.4.b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Administration of the medicine is owned by the Safe Administration SOP (MOM.6); capturing a medication error or adverse reaction is owned by the Monitoring SOP (MOM.7).</w:t>
      </w:r>
    </w:p>
    <w:p>
      <w:pPr>
        <w:pStyle w:val="Heading2"/>
      </w:pPr>
      <w:r>
        <w:t>Educate about food-drug interaction, diet, nutrition and immunisations — PRE.4.c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Nutritional-risk screening and therapeutic diet are owned by the Care of Patients SOP (COP.13); paediatric immunisation assessment is owned by COP.8; kitchen method is owned by the infection-control team.</w:t>
      </w:r>
    </w:p>
    <w:p>
      <w:pPr>
        <w:pStyle w:val="Heading2"/>
      </w:pPr>
      <w:r>
        <w:t>Educate about the specific disease process, complications and prevention strategies — PRE.4.d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The diagnosis and care plan themselves are owned by the Assessment SOP (AAC.3).</w:t>
      </w:r>
    </w:p>
    <w:p>
      <w:pPr>
        <w:pStyle w:val="Heading2"/>
      </w:pPr>
      <w:r>
        <w:t>Educate about preventing healthcare-associated infections — PRE.4.e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Infection-prevention bundles and surveillance themselves are owned by the hospital's infection control and prevention programme.</w:t>
      </w:r>
    </w:p>
    <w:p>
      <w:pPr>
        <w:pStyle w:val="Heading2"/>
      </w:pPr>
      <w:r>
        <w:t>Communicate effectively — checked, not assumed — PRE.4.f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>Ha, J. F., &amp; Longnecker, N. (2010). Doctor-patient communication: a review. The Ochsner Journal, 10(1), 38–43 — the doctor-patient communication framework referred to in staff training; not a pasted protocol.</w:t>
      </w:r>
    </w:p>
    <w:p>
      <w:pPr>
        <w:pStyle w:val="ListParagraph"/>
      </w:pPr>
      <w:r>
        <w:t xml:space="preserve">• </w:t>
      </w:r>
      <w:r>
        <w:t>Marcus, C. (2014). Strategies to improve the quality of verbal patient and family education: a review of the literature and creation of the EDUCATE model. Health Psychology and Behavioral Medicine, 2(1), 482–495 — the verbal-education framework referred to in staff training; not a pasted protocol.</w:t>
      </w:r>
    </w:p>
    <w:p>
      <w:pPr>
        <w:pStyle w:val="ListParagraph"/>
      </w:pPr>
      <w:r>
        <w:t xml:space="preserve">• </w:t>
      </w:r>
      <w:r>
        <w:t>Nouri, S. S., &amp; Rudd, R. E. (2015). Health literacy in the "oral exchange": An important element of patient-provider communication. Patient Education and Counseling, 98(5), 565–571 — an oral health literacy framework referred to in staff training; not a pasted protocol.</w:t>
      </w:r>
    </w:p>
    <w:p>
      <w:pPr>
        <w:pStyle w:val="ListParagraph"/>
      </w:pPr>
      <w:r>
        <w:t xml:space="preserve">• </w:t>
      </w:r>
      <w:r>
        <w:t>Badarudeen, S., &amp; Sabharwal, S. (2010). Assessing readability of patient education materials: current role in orthopaedics. Clinical Orthopaedics and Related Research, 468(10), 2572–2580 — a readability framework referred to in staff training; not a pasted protocol.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PRE.4.</w:t>
      </w:r>
    </w:p>
    <w:p>
      <w:pPr>
        <w:pStyle w:val="ListParagraph"/>
      </w:pPr>
      <w:r>
        <w:t xml:space="preserve">• </w:t>
      </w:r>
      <w:r>
        <w:t>Ha, J. F., &amp; Longnecker, N. (2010). Doctor-patient communication: a review. The Ochsner Journal, 10(1), 38–43 — the doctor-patient communication framework referred to in staff training; not a pasted protocol.</w:t>
      </w:r>
    </w:p>
    <w:p>
      <w:pPr>
        <w:pStyle w:val="ListParagraph"/>
      </w:pPr>
      <w:r>
        <w:t xml:space="preserve">• </w:t>
      </w:r>
      <w:r>
        <w:t>Marcus, C. (2014). Strategies to improve the quality of verbal patient and family education: a review of the literature and creation of the EDUCATE model. Health Psychology and Behavioral Medicine, 2(1), 482–495 — the verbal-education framework referred to in staff training; not a pasted protocol.</w:t>
      </w:r>
    </w:p>
    <w:p>
      <w:pPr>
        <w:pStyle w:val="ListParagraph"/>
      </w:pPr>
      <w:r>
        <w:t xml:space="preserve">• </w:t>
      </w:r>
      <w:r>
        <w:t>Nouri, S. S., &amp; Rudd, R. E. (2015). Health literacy in the "oral exchange": An important element of patient-provider communication. Patient Education and Counseling, 98(5), 565–571 — an oral health literacy framework referred to in staff training; not a pasted protocol.</w:t>
      </w:r>
    </w:p>
    <w:p>
      <w:pPr>
        <w:pStyle w:val="ListParagraph"/>
      </w:pPr>
      <w:r>
        <w:t xml:space="preserve">• </w:t>
      </w:r>
      <w:r>
        <w:t>Badarudeen, S., &amp; Sabharwal, S. (2010). Assessing readability of patient education materials: current role in orthopaedics. Clinical Orthopaedics and Related Research, 468(10), 2572–2580 — a readability framework referred to in staff training; not a pasted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