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HRM.2.e — Evaluation of training effectiveness is done by the organisation.</w:t>
      </w:r>
    </w:p>
    <w:p>
      <w:r>
        <w:t>HRM.2 Record 05 — Annual training effectiveness report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Programme Evaluated: Which programme this evaluation covers.</w:t>
      </w:r>
    </w:p>
    <w:p>
      <w:pPr>
        <w:pStyle w:val="ListParagraph"/>
      </w:pPr>
      <w:r>
        <w:t>Evaluation Method Used: Knowledge check, supervisor observation, feedback form, or completion-rate review.</w:t>
      </w:r>
    </w:p>
    <w:p>
      <w:pPr>
        <w:pStyle w:val="ListParagraph"/>
      </w:pPr>
      <w:r>
        <w:t>Finding: What the evaluation actually found.</w:t>
      </w:r>
    </w:p>
    <w:p>
      <w:pPr>
        <w:pStyle w:val="ListParagraph"/>
      </w:pPr>
      <w:r>
        <w:t>Action Taken on Finding: What changed in the calendar, curriculum or delivery method as a result.</w:t>
      </w:r>
    </w:p>
    <w:p>
      <w:pPr>
        <w:pStyle w:val="ListParagraph"/>
      </w:pPr>
      <w:r>
        <w:t>Reviewed By / Date: The Medical Superintendent's review and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annual report proving training effectiveness was actually evaluated, with a finding and a real action taken — not just attendance recorded and filed.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compiles this report annually. The worked example shows a hand-hygiene session's measured compliance improvement, reviewed and retained unchanged for the next cycle.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programme that is never evaluated for whether it actually changes practice is only ever proven by attendance, which proves nothing about whether it worked — this report is the evidence it did, or the trigger to change what isn't working.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Programme Evaluated</w:t>
            </w:r>
          </w:p>
        </w:tc>
        <w:tc>
          <w:tcPr>
            <w:tcW w:type="dxa" w:w="1728"/>
          </w:tcPr>
          <w:p>
            <w:r>
              <w:t>Evaluation Method Used</w:t>
            </w:r>
          </w:p>
        </w:tc>
        <w:tc>
          <w:tcPr>
            <w:tcW w:type="dxa" w:w="1728"/>
          </w:tcPr>
          <w:p>
            <w:r>
              <w:t>Finding</w:t>
            </w:r>
          </w:p>
        </w:tc>
        <w:tc>
          <w:tcPr>
            <w:tcW w:type="dxa" w:w="1728"/>
          </w:tcPr>
          <w:p>
            <w:r>
              <w:t>Action Taken on Finding</w:t>
            </w:r>
          </w:p>
        </w:tc>
        <w:tc>
          <w:tcPr>
            <w:tcW w:type="dxa" w:w="1728"/>
          </w:tcPr>
          <w:p>
            <w:r>
              <w:t>Reviewed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Hand hygiene refresher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Supervisor observation, 4 weeks post-training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Compliance on direct observation rose from 68% to 91%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change needed — session retained in next year's calendar as-is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20-Dec-2026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