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MOM.1.b — Pharmacy services and medication usage are implemented following written guidance through a multidisciplinary committee.</w:t>
      </w:r>
    </w:p>
    <w:p>
      <w:r>
        <w:t>MOM.1 Record 02 — Multidisciplinary Medication Committee meeting minutes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committee actually meets, with the right people in the room, and that its decisions are written down with an owner and a deadline -- not that a committee exists on an organisation chart.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quarterly committee meeting reviews a rise in off-formulary prescribing and decides to run a prescriber education session, assigned to the Pharmacy In-Charge with a one-month deadline.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committee that exists on paper but never actually meets, reviews data, or decides anything is not governance -- it is a name on an organisation chart.</w:t>
            </w:r>
          </w:p>
        </w:tc>
      </w:tr>
    </w:tbl>
    <w:p/>
    <w:p>
      <w:r>
        <w:t>How to fill this in — column by column</w:t>
      </w:r>
    </w:p>
    <w:p>
      <w:r>
        <w:t>Meeting Date: Date of the committee meeting.</w:t>
      </w:r>
    </w:p>
    <w:p>
      <w:r>
        <w:t>Attendees: Who was present, by role.</w:t>
      </w:r>
    </w:p>
    <w:p>
      <w:r>
        <w:t>Decision / Action Item: What was decided or assigned.</w:t>
      </w:r>
    </w:p>
    <w:p>
      <w:r>
        <w:t>Owner: Who is responsible for carrying it out.</w:t>
      </w:r>
    </w:p>
    <w:p>
      <w:r>
        <w:t>Due Date: When it is due.</w:t>
      </w:r>
    </w:p>
    <w:p>
      <w:r>
        <w:t>Status: Open, in progress, or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Meeting Date</w:t>
            </w:r>
          </w:p>
        </w:tc>
        <w:tc>
          <w:tcPr>
            <w:tcW w:type="dxa" w:w="1440"/>
          </w:tcPr>
          <w:p>
            <w:r>
              <w:t>Attendees</w:t>
            </w:r>
          </w:p>
        </w:tc>
        <w:tc>
          <w:tcPr>
            <w:tcW w:type="dxa" w:w="1440"/>
          </w:tcPr>
          <w:p>
            <w:r>
              <w:t>Decision / Action Item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15-Jan-2026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Medical Superintendent, Pharmacy In-Charge, Dr. Rao, Nurse Patel</w:t>
            </w:r>
          </w:p>
        </w:tc>
        <w:tc>
          <w:tcPr>
            <w:tcW w:type="dxa" w:w="1440"/>
            <w:shd w:val="clear" w:color="auto" w:fill="FFF2CC"/>
          </w:tcPr>
          <w:p>
            <w:r>
              <w:t>Run prescriber education on off-formulary prescribing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15-Feb-2026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Closed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