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MOM.2.a — Medications are stored in a clean, safe and secure environment; and incorporating the manufacturer's recommendation(s).</w:t>
      </w:r>
    </w:p>
    <w:p>
      <w:r>
        <w:t>MOM.2 Record 01 — Storage temperature and inspection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that every storage area -- pharmacy and every satellite cupboard, refrigerator and night cupboard -- is actually checked for temperature and condition, not assumed safe because nothing has gone wrong yet.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pharmacy refrigerator is checked twice daily; a reading outside range on a Tuesday triggers quarantine of the affected stock and a pharmacist's assessment before anything is returned to use.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refrigerator that silently drifted out of range overnight turns a correctly-dispensed medication into an unsafe one before it ever reaches the patient -- this log is how that drift gets caught.</w:t>
            </w:r>
          </w:p>
        </w:tc>
      </w:tr>
    </w:tbl>
    <w:p/>
    <w:p>
      <w:r>
        <w:t>How to fill this in — column by column</w:t>
      </w:r>
    </w:p>
    <w:p>
      <w:r>
        <w:t>Date/Time: When the check was done.</w:t>
      </w:r>
    </w:p>
    <w:p>
      <w:r>
        <w:t>Storage Area: Pharmacy, ward cupboard, refrigerator, night cupboard, etc.</w:t>
      </w:r>
    </w:p>
    <w:p>
      <w:r>
        <w:t>Temperature Reading: Recorded value against the manufacturer's range.</w:t>
      </w:r>
    </w:p>
    <w:p>
      <w:r>
        <w:t>Within Range (Y/N): Whether the reading was acceptable.</w:t>
      </w:r>
    </w:p>
    <w:p>
      <w:r>
        <w:t>Checked By: Staff member who performed the check.</w:t>
      </w:r>
    </w:p>
    <w:p>
      <w:r>
        <w:t>Action Taken (if excursion): Quarantine, pharmacist assessment, disposition.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MOM.2.</w:t>
      </w:r>
    </w:p>
    <w:p>
      <w:pPr>
        <w:pStyle w:val="ListParagraph"/>
      </w:pPr>
      <w:r>
        <w:t xml:space="preserve">• </w:t>
      </w:r>
      <w:r>
        <w:t xml:space="preserve">Government of India. (1940, as amended). </w:t>
      </w:r>
      <w:hyperlink r:id="rId10">
        <w:r>
          <w:rPr>
            <w:color w:val="0563C1"/>
            <w:u w:val="single"/>
          </w:rPr>
          <w:t>The Drugs and Cosmetics Act, 1940</w:t>
        </w:r>
      </w:hyperlink>
      <w:r>
        <w:t xml:space="preserve"> and the Drugs and Cosmetics Rules, 1945 (as amended) — the statutory basis for licensed pharmacy operation, labelling, storage, expiry, recall and disposal of medications.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Date/Time</w:t>
            </w:r>
          </w:p>
        </w:tc>
        <w:tc>
          <w:tcPr>
            <w:tcW w:type="dxa" w:w="1440"/>
          </w:tcPr>
          <w:p>
            <w:r>
              <w:t>Storage Area</w:t>
            </w:r>
          </w:p>
        </w:tc>
        <w:tc>
          <w:tcPr>
            <w:tcW w:type="dxa" w:w="1440"/>
          </w:tcPr>
          <w:p>
            <w:r>
              <w:t>Temperature Reading</w:t>
            </w:r>
          </w:p>
        </w:tc>
        <w:tc>
          <w:tcPr>
            <w:tcW w:type="dxa" w:w="1440"/>
          </w:tcPr>
          <w:p>
            <w:r>
              <w:t>Within Range (Y/N)</w:t>
            </w:r>
          </w:p>
        </w:tc>
        <w:tc>
          <w:tcPr>
            <w:tcW w:type="dxa" w:w="1440"/>
          </w:tcPr>
          <w:p>
            <w:r>
              <w:t>Checked By</w:t>
            </w:r>
          </w:p>
        </w:tc>
        <w:tc>
          <w:tcPr>
            <w:tcW w:type="dxa" w:w="1440"/>
          </w:tcPr>
          <w:p>
            <w:r>
              <w:t>Action Taken (if excursion)</w:t>
            </w:r>
          </w:p>
        </w:tc>
      </w:tr>
      <w:t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c>
          <w:tcPr>
            <w:tcW w:type="dxa" w:w="1440"/>
            <w:shd w:val="clear" w:color="auto" w:fill="FFF2CC"/>
          </w:tcPr>
          <w:p>
            <w:r>
              <w:t>WORKED EXAMPLE — 05-Feb-2026, 8:00 AM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refrigerator</w:t>
            </w:r>
          </w:p>
        </w:tc>
        <w:tc>
          <w:tcPr>
            <w:tcW w:type="dxa" w:w="1440"/>
            <w:shd w:val="clear" w:color="auto" w:fill="FFF2CC"/>
          </w:tcPr>
          <w:p>
            <w:r>
              <w:t>4°C</w:t>
            </w:r>
          </w:p>
        </w:tc>
        <w:tc>
          <w:tcPr>
            <w:tcW w:type="dxa" w:w="1440"/>
            <w:shd w:val="clear" w:color="auto" w:fill="FFF2CC"/>
          </w:tcPr>
          <w:p>
            <w:r>
              <w:t>Y</w:t>
            </w:r>
          </w:p>
        </w:tc>
        <w:tc>
          <w:tcPr>
            <w:tcW w:type="dxa" w:w="1440"/>
            <w:shd w:val="clear" w:color="auto" w:fill="FFF2CC"/>
          </w:tcPr>
          <w:p>
            <w:r>
              <w:t>Pharmacy Staff R. Dsouza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prsindia.org/files/bills_acts/bills_parliament/2007/bill145_20080430145_THE_DRUGS_AND_COSMETICS_ACT_1940_with_2007_amendment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