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MOM.3.a — Medication prescription is in consonance with good practices/guidelines for the rational prescription of medications.</w:t>
      </w:r>
    </w:p>
    <w:p>
      <w:r>
        <w:t>MOM.3 Record 01 — Rational-prescribing guideline adoption and quarterly pattern review</w:t>
      </w:r>
    </w:p>
    <w:p/>
    <w:p/>
    <w:p/>
    <w:tbl>
      <w:tblPr>
        <w:tblStyle w:val="TableGrid"/>
        <w:tblW w:type="auto" w:w="0"/>
        <w:tblLook w:firstColumn="1" w:firstRow="1" w:lastColumn="0" w:lastRow="0" w:noHBand="0" w:noVBand="1" w:val="04A0"/>
      </w:tblPr>
      <w:tblGrid>
        <w:gridCol w:w="8640"/>
      </w:tblGrid>
      <w:tr>
        <w:tc>
          <w:tcPr>
            <w:tcW w:type="dxa" w:w="8640"/>
          </w:tcPr>
          <w:p>
            <w:r>
              <w:t>What is this record, in plain terms?</w:t>
              <w:br/>
              <w:t>This record is the proof the hospital actually adopted a named prescribing framework and reviews prescribing patterns against it -- not that prescribers each work from memory and personal habit.</w:t>
            </w:r>
          </w:p>
        </w:tc>
      </w:tr>
    </w:tbl>
    <w:p/>
    <w:tbl>
      <w:tblPr>
        <w:tblStyle w:val="TableGrid"/>
        <w:tblW w:type="auto" w:w="0"/>
        <w:tblLook w:firstColumn="1" w:firstRow="1" w:lastColumn="0" w:lastRow="0" w:noHBand="0" w:noVBand="1" w:val="04A0"/>
      </w:tblPr>
      <w:tblGrid>
        <w:gridCol w:w="8640"/>
      </w:tblGrid>
      <w:tr>
        <w:tc>
          <w:tcPr>
            <w:tcW w:type="dxa" w:w="8640"/>
          </w:tcPr>
          <w:p>
            <w:r>
              <w:t>A real example of when you'd use this</w:t>
              <w:br/>
              <w:t>The quarterly review finds polypharmacy (five or more concurrent medications) in a higher-than-expected share of elderly in-patients and flags it for prescriber education.</w:t>
            </w:r>
          </w:p>
        </w:tc>
      </w:tr>
    </w:tbl>
    <w:p/>
    <w:tbl>
      <w:tblPr>
        <w:tblStyle w:val="TableGrid"/>
        <w:tblW w:type="auto" w:w="0"/>
        <w:tblLook w:firstColumn="1" w:firstRow="1" w:lastColumn="0" w:lastRow="0" w:noHBand="0" w:noVBand="1" w:val="04A0"/>
      </w:tblPr>
      <w:tblGrid>
        <w:gridCol w:w="8640"/>
      </w:tblGrid>
      <w:tr>
        <w:tc>
          <w:tcPr>
            <w:tcW w:type="dxa" w:w="8640"/>
          </w:tcPr>
          <w:p>
            <w:r>
              <w:t>Why does NABH ask for this?</w:t>
              <w:br/>
              <w:t>A prescriber working from memory and habit, with no shared reference anyone else can check against, means two doctors can give the same patient contradictory advice with neither one being wrong on paper.</w:t>
            </w:r>
          </w:p>
        </w:tc>
      </w:tr>
    </w:tbl>
    <w:p/>
    <w:p>
      <w:r>
        <w:t>How to fill this in — column by column</w:t>
      </w:r>
    </w:p>
    <w:p>
      <w:r>
        <w:t>Review Period: Quarter covered.</w:t>
      </w:r>
    </w:p>
    <w:p>
      <w:r>
        <w:t>Framework Referenced: WHO Guide to Good Prescribing / National List of Essential Medicines.</w:t>
      </w:r>
    </w:p>
    <w:p>
      <w:r>
        <w:t>Pattern Reviewed: Generic-name use, polypharmacy, off-formulary rate, etc.</w:t>
      </w:r>
    </w:p>
    <w:p>
      <w:r>
        <w:t>Finding: What the review found.</w:t>
      </w:r>
    </w:p>
    <w:p>
      <w:r>
        <w:t>Action (if any): Education, feedback, or no action needed.</w:t>
      </w:r>
    </w:p>
    <w:p>
      <w:r>
        <w:t>Reviewed By: Committee.</w:t>
      </w:r>
    </w:p>
    <w:p>
      <w:r>
        <w:t>The first data row below (shaded yellow, and marked WORKED EXAMPLE in the row itself) is a worked example already filled in correctly. Delete it or overwrite it once you start using this record for real — don't leave the example row mixed in with real entries. Add more blank rows as needed; don't create a second copy of this file.</w:t>
      </w:r>
    </w:p>
    <w:p/>
    <w:p>
      <w:r>
        <w:t>Where this requirement comes from (verified, clickable sources)</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Management of Medication chapter, standard MOM.3.</w:t>
      </w:r>
    </w:p>
    <w:p>
      <w:pPr>
        <w:pStyle w:val="ListParagraph"/>
      </w:pPr>
      <w:r>
        <w:t xml:space="preserve">• </w:t>
      </w:r>
      <w:r>
        <w:t>de Vries, T. P. G. M., Henning, R. H., Hogerzeil, H. V., &amp; Fresle, D. A., for the World Health Organization. (1994). Guide to good prescribing: A practical manual (WHO/DAP/94.11). World Health Organization, Action Programme on Essential Drugs — the reference framework this hospital has adopted for rational prescribing practice.</w:t>
      </w:r>
    </w:p>
    <w:p/>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Review Period</w:t>
            </w:r>
          </w:p>
        </w:tc>
        <w:tc>
          <w:tcPr>
            <w:tcW w:type="dxa" w:w="1440"/>
          </w:tcPr>
          <w:p>
            <w:r>
              <w:t>Framework Referenced</w:t>
            </w:r>
          </w:p>
        </w:tc>
        <w:tc>
          <w:tcPr>
            <w:tcW w:type="dxa" w:w="1440"/>
          </w:tcPr>
          <w:p>
            <w:r>
              <w:t>Pattern Reviewed</w:t>
            </w:r>
          </w:p>
        </w:tc>
        <w:tc>
          <w:tcPr>
            <w:tcW w:type="dxa" w:w="1440"/>
          </w:tcPr>
          <w:p>
            <w:r>
              <w:t>Finding</w:t>
            </w:r>
          </w:p>
        </w:tc>
        <w:tc>
          <w:tcPr>
            <w:tcW w:type="dxa" w:w="1440"/>
          </w:tcPr>
          <w:p>
            <w:r>
              <w:t>Action (if any)</w:t>
            </w:r>
          </w:p>
        </w:tc>
        <w:tc>
          <w:tcPr>
            <w:tcW w:type="dxa" w:w="1440"/>
          </w:tcPr>
          <w:p>
            <w:r>
              <w:t>Reviewed By</w:t>
            </w:r>
          </w:p>
        </w:tc>
      </w:tr>
      <w:tr>
        <w:tc>
          <w:tcPr>
            <w:tcW w:type="dxa" w:w="1440"/>
            <w:shd w:val="clear" w:color="auto" w:fill="FFF2CC"/>
          </w:tcPr>
          <w:p>
            <w:r/>
          </w:p>
        </w:tc>
        <w:tc>
          <w:tcPr>
            <w:tcW w:type="dxa" w:w="1440"/>
            <w:shd w:val="clear" w:color="auto" w:fill="FFF2CC"/>
          </w:tcPr>
          <w:p>
            <w:r/>
          </w:p>
        </w:tc>
        <w:tc>
          <w:tcPr>
            <w:tcW w:type="dxa" w:w="1440"/>
            <w:shd w:val="clear" w:color="auto" w:fill="FFF2CC"/>
          </w:tcPr>
          <w:p>
            <w:r/>
          </w:p>
        </w:tc>
        <w:tc>
          <w:tcPr>
            <w:tcW w:type="dxa" w:w="1440"/>
            <w:shd w:val="clear" w:color="auto" w:fill="FFF2CC"/>
          </w:tcPr>
          <w:p>
            <w:r/>
          </w:p>
        </w:tc>
        <w:tc>
          <w:tcPr>
            <w:tcW w:type="dxa" w:w="1440"/>
            <w:shd w:val="clear" w:color="auto" w:fill="FFF2CC"/>
          </w:tcPr>
          <w:p>
            <w:r/>
          </w:p>
        </w:tc>
        <w:tc>
          <w:tcPr>
            <w:tcW w:type="dxa" w:w="1440"/>
            <w:shd w:val="clear" w:color="auto" w:fill="FFF2CC"/>
          </w:tcPr>
          <w:p>
            <w:r/>
          </w:p>
        </w:tc>
      </w:tr>
      <w:tr>
        <w:tc>
          <w:tcPr>
            <w:tcW w:type="dxa" w:w="1440"/>
            <w:shd w:val="clear" w:color="auto" w:fill="FFF2CC"/>
          </w:tcPr>
          <w:p>
            <w:r>
              <w:t>WORKED EXAMPLE — Q1 2026</w:t>
            </w:r>
          </w:p>
        </w:tc>
        <w:tc>
          <w:tcPr>
            <w:tcW w:type="dxa" w:w="1440"/>
            <w:shd w:val="clear" w:color="auto" w:fill="FFF2CC"/>
          </w:tcPr>
          <w:p>
            <w:r>
              <w:t>WHO Guide to Good Prescribing</w:t>
            </w:r>
          </w:p>
        </w:tc>
        <w:tc>
          <w:tcPr>
            <w:tcW w:type="dxa" w:w="1440"/>
            <w:shd w:val="clear" w:color="auto" w:fill="FFF2CC"/>
          </w:tcPr>
          <w:p>
            <w:r>
              <w:t>Polypharmacy rate, elderly in-patients</w:t>
            </w:r>
          </w:p>
        </w:tc>
        <w:tc>
          <w:tcPr>
            <w:tcW w:type="dxa" w:w="1440"/>
            <w:shd w:val="clear" w:color="auto" w:fill="FFF2CC"/>
          </w:tcPr>
          <w:p>
            <w:r>
              <w:t>Higher than expected in 2 of 10 sampled cases</w:t>
            </w:r>
          </w:p>
        </w:tc>
        <w:tc>
          <w:tcPr>
            <w:tcW w:type="dxa" w:w="1440"/>
            <w:shd w:val="clear" w:color="auto" w:fill="FFF2CC"/>
          </w:tcPr>
          <w:p>
            <w:r>
              <w:t>Prescriber education session scheduled</w:t>
            </w:r>
          </w:p>
        </w:tc>
        <w:tc>
          <w:tcPr>
            <w:tcW w:type="dxa" w:w="1440"/>
            <w:shd w:val="clear" w:color="auto" w:fill="FFF2CC"/>
          </w:tcPr>
          <w:p>
            <w:r>
              <w:t>Multidisciplinary Medication Committee</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