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MOM.4.c — Medication orders are legible, dated, timed and signed.</w:t>
      </w:r>
    </w:p>
    <w:p>
      <w:r>
        <w:t>MOM.4 Record 03 — Returned-order log (illegible/unsigned)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 illegible or unsigned order was actually sent back for clarification before anyone acted on a guess.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pharmacist cannot read the dose written on an order and returns it to the prescriber rather than guessing.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pharmacist or nurse who guesses at an order they cannot read has turned an illegible scrawl into a clinical decision they never made.</w:t>
            </w:r>
          </w:p>
        </w:tc>
      </w:tr>
    </w:tbl>
    <w:p/>
    <w:p>
      <w:r>
        <w:t>How to fill this in — column by column</w:t>
      </w:r>
    </w:p>
    <w:p>
      <w:r>
        <w:t>Date: Date found.</w:t>
      </w:r>
    </w:p>
    <w:p>
      <w:r>
        <w:t>Patient (Identifier 1) / UID (Identifier 2): The patient.</w:t>
      </w:r>
    </w:p>
    <w:p>
      <w:r>
        <w:t>Defect: Illegible, unsigned, undated, or untimed.</w:t>
      </w:r>
    </w:p>
    <w:p>
      <w:r>
        <w:t>Returned To: Prescriber.</w:t>
      </w:r>
    </w:p>
    <w:p>
      <w:r>
        <w:t>Clarified / Corrected Date: When it was resolved.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Defect</w:t>
            </w:r>
          </w:p>
        </w:tc>
        <w:tc>
          <w:tcPr>
            <w:tcW w:type="dxa" w:w="1728"/>
          </w:tcPr>
          <w:p>
            <w:r>
              <w:t>Returned To</w:t>
            </w:r>
          </w:p>
        </w:tc>
        <w:tc>
          <w:tcPr>
            <w:tcW w:type="dxa" w:w="1728"/>
          </w:tcPr>
          <w:p>
            <w:r>
              <w:t>Clarified / Corrected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22-Mar-2026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Shalini Menon / UID-00708</w:t>
            </w:r>
          </w:p>
        </w:tc>
        <w:tc>
          <w:tcPr>
            <w:tcW w:type="dxa" w:w="1728"/>
            <w:shd w:val="clear" w:color="auto" w:fill="FFF2CC"/>
          </w:tcPr>
          <w:p>
            <w:r>
              <w:t>Dose illegible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Varma</w:t>
            </w:r>
          </w:p>
        </w:tc>
        <w:tc>
          <w:tcPr>
            <w:tcW w:type="dxa" w:w="1728"/>
            <w:shd w:val="clear" w:color="auto" w:fill="FFF2CC"/>
          </w:tcPr>
          <w:p>
            <w:r>
              <w:t>22-Mar-2026, same shift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