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MOM.6.c — The patient is identified before administration.</w:t>
      </w:r>
    </w:p>
    <w:p>
      <w:r>
        <w:t>MOM.6 Record 03 — Patient identification compliance audit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two identifiers were actually confirmed against the patient immediately before administration -- not assumed from the bed number.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nurse asks the patient's name and checks the wristband UID before administering an oral medication, confirming both identifiers match the order.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medication given to the wrong patient is not a dosing error -- it is an entirely different patient receiving a treatment decision that was never made for them.</w:t>
            </w:r>
          </w:p>
        </w:tc>
      </w:tr>
    </w:tbl>
    <w:p/>
    <w:p>
      <w:r>
        <w:t>How to fill this in — column by column</w:t>
      </w:r>
    </w:p>
    <w:p>
      <w:r>
        <w:t>Date: Observation date.</w:t>
      </w:r>
    </w:p>
    <w:p>
      <w:r>
        <w:t>Patient (Identifier 1) / UID (Identifier 2): The patient observed.</w:t>
      </w:r>
    </w:p>
    <w:p>
      <w:r>
        <w:t>Both Identifiers Confirmed (Y/N): Result.</w:t>
      </w:r>
    </w:p>
    <w:p>
      <w:r>
        <w:t>Nurse Observed: Staff member.</w:t>
      </w:r>
    </w:p>
    <w:p>
      <w:r>
        <w:t>Observed By: Ward in-charge or Quality Coordinator.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Both Identifiers Confirmed (Y/N)</w:t>
            </w:r>
          </w:p>
        </w:tc>
        <w:tc>
          <w:tcPr>
            <w:tcW w:type="dxa" w:w="1728"/>
          </w:tcPr>
          <w:p>
            <w:r>
              <w:t>Nurse Observed</w:t>
            </w:r>
          </w:p>
        </w:tc>
        <w:tc>
          <w:tcPr>
            <w:tcW w:type="dxa" w:w="1728"/>
          </w:tcPr>
          <w:p>
            <w:r>
              <w:t>Observed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24-Apr-2026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Mohan Das / UID-00759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P. Jacob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In-Charge Nurse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